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482" w:val="right" w:leader="none"/>
        </w:tabs>
        <w:spacing w:line="544" w:lineRule="exact" w:before="72"/>
        <w:ind w:left="3873" w:right="0" w:firstLine="0"/>
        <w:jc w:val="left"/>
        <w:rPr>
          <w:b/>
          <w:position w:val="4"/>
          <w:sz w:val="48"/>
        </w:rPr>
      </w:pPr>
      <w:r>
        <w:rPr>
          <w:b/>
          <w:position w:val="4"/>
          <w:sz w:val="4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1053046</wp:posOffset>
            </wp:positionH>
            <wp:positionV relativeFrom="paragraph">
              <wp:posOffset>268135</wp:posOffset>
            </wp:positionV>
            <wp:extent cx="673806" cy="8471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06" cy="84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S</w:t>
      </w:r>
      <w:r>
        <w:rPr>
          <w:b/>
          <w:sz w:val="18"/>
        </w:rPr>
        <w:t>TATE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pacing w:val="-2"/>
          <w:sz w:val="22"/>
        </w:rPr>
        <w:t>M</w:t>
      </w:r>
      <w:r>
        <w:rPr>
          <w:b/>
          <w:spacing w:val="-2"/>
          <w:sz w:val="18"/>
        </w:rPr>
        <w:t>AINE</w:t>
      </w:r>
      <w:r>
        <w:rPr>
          <w:b/>
          <w:sz w:val="18"/>
        </w:rPr>
        <w:tab/>
      </w:r>
      <w:r>
        <w:rPr>
          <w:b/>
          <w:spacing w:val="-10"/>
          <w:position w:val="4"/>
          <w:sz w:val="48"/>
        </w:rPr>
        <w:t>7</w:t>
      </w:r>
    </w:p>
    <w:p>
      <w:pPr>
        <w:pStyle w:val="Heading1"/>
        <w:spacing w:line="267" w:lineRule="exact"/>
        <w:ind w:left="2" w:right="362"/>
        <w:jc w:val="center"/>
      </w:pPr>
      <w:r>
        <w:rPr>
          <w:smallCaps/>
          <w:spacing w:val="-2"/>
        </w:rPr>
        <w:t>Department</w:t>
      </w:r>
      <w:r>
        <w:rPr>
          <w:smallCaps/>
          <w:spacing w:val="5"/>
        </w:rPr>
        <w:t> </w:t>
      </w:r>
      <w:r>
        <w:rPr>
          <w:smallCaps/>
          <w:spacing w:val="-2"/>
        </w:rPr>
        <w:t>of</w:t>
      </w:r>
      <w:r>
        <w:rPr>
          <w:smallCaps/>
          <w:spacing w:val="3"/>
        </w:rPr>
        <w:t> </w:t>
      </w:r>
      <w:r>
        <w:rPr>
          <w:smallCaps/>
          <w:spacing w:val="-2"/>
        </w:rPr>
        <w:t>Agriculture,</w:t>
      </w:r>
      <w:r>
        <w:rPr>
          <w:smallCaps/>
          <w:spacing w:val="-9"/>
        </w:rPr>
        <w:t> </w:t>
      </w:r>
      <w:r>
        <w:rPr>
          <w:smallCaps/>
          <w:spacing w:val="-2"/>
        </w:rPr>
        <w:t>Conservation</w:t>
      </w:r>
      <w:r>
        <w:rPr>
          <w:smallCaps/>
          <w:spacing w:val="4"/>
        </w:rPr>
        <w:t> </w:t>
      </w:r>
      <w:r>
        <w:rPr>
          <w:smallCaps/>
          <w:spacing w:val="-2"/>
        </w:rPr>
        <w:t>&amp;</w:t>
      </w:r>
      <w:r>
        <w:rPr>
          <w:smallCaps/>
          <w:spacing w:val="-10"/>
        </w:rPr>
        <w:t> </w:t>
      </w:r>
      <w:r>
        <w:rPr>
          <w:smallCaps/>
          <w:spacing w:val="-2"/>
        </w:rPr>
        <w:t>Forestry</w:t>
      </w:r>
    </w:p>
    <w:p>
      <w:pPr>
        <w:spacing w:before="0"/>
        <w:ind w:left="3058" w:right="3419" w:firstLine="0"/>
        <w:jc w:val="center"/>
        <w:rPr>
          <w:b/>
          <w:sz w:val="22"/>
        </w:rPr>
      </w:pPr>
      <w:r>
        <w:rPr>
          <w:b/>
          <w:smallCaps/>
          <w:sz w:val="22"/>
        </w:rPr>
        <w:t>Board</w:t>
      </w:r>
      <w:r>
        <w:rPr>
          <w:b/>
          <w:smallCaps/>
          <w:spacing w:val="-12"/>
          <w:sz w:val="22"/>
        </w:rPr>
        <w:t> </w:t>
      </w:r>
      <w:r>
        <w:rPr>
          <w:b/>
          <w:smallCaps/>
          <w:sz w:val="22"/>
        </w:rPr>
        <w:t>of</w:t>
      </w:r>
      <w:r>
        <w:rPr>
          <w:b/>
          <w:smallCaps/>
          <w:spacing w:val="-11"/>
          <w:sz w:val="22"/>
        </w:rPr>
        <w:t> </w:t>
      </w:r>
      <w:r>
        <w:rPr>
          <w:b/>
          <w:smallCaps/>
          <w:sz w:val="22"/>
        </w:rPr>
        <w:t>Pesticides</w:t>
      </w:r>
      <w:r>
        <w:rPr>
          <w:b/>
          <w:smallCaps/>
          <w:spacing w:val="-11"/>
          <w:sz w:val="22"/>
        </w:rPr>
        <w:t> </w:t>
      </w:r>
      <w:r>
        <w:rPr>
          <w:b/>
          <w:smallCaps/>
          <w:sz w:val="22"/>
        </w:rPr>
        <w:t>Control 28 State House Station Augusta, Maine 04333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2240" w:h="15840"/>
          <w:pgMar w:top="340" w:bottom="280" w:left="1440" w:right="1080"/>
        </w:sectPr>
      </w:pPr>
    </w:p>
    <w:p>
      <w:pPr>
        <w:spacing w:line="242" w:lineRule="auto" w:before="349"/>
        <w:ind w:left="278" w:right="38" w:hanging="195"/>
        <w:jc w:val="left"/>
        <w:rPr>
          <w:b/>
          <w:sz w:val="20"/>
        </w:rPr>
      </w:pPr>
      <w:r>
        <w:rPr>
          <w:b/>
          <w:smallCaps/>
          <w:sz w:val="20"/>
        </w:rPr>
        <w:t>Janet</w:t>
      </w:r>
      <w:r>
        <w:rPr>
          <w:b/>
          <w:smallCaps/>
          <w:spacing w:val="-10"/>
          <w:sz w:val="20"/>
        </w:rPr>
        <w:t> </w:t>
      </w:r>
      <w:r>
        <w:rPr>
          <w:b/>
          <w:smallCaps/>
          <w:sz w:val="20"/>
        </w:rPr>
        <w:t>T.</w:t>
      </w:r>
      <w:r>
        <w:rPr>
          <w:b/>
          <w:smallCaps/>
          <w:spacing w:val="-10"/>
          <w:sz w:val="20"/>
        </w:rPr>
        <w:t> </w:t>
      </w:r>
      <w:r>
        <w:rPr>
          <w:b/>
          <w:smallCaps/>
          <w:sz w:val="20"/>
        </w:rPr>
        <w:t>Mills</w:t>
      </w:r>
      <w:r>
        <w:rPr>
          <w:b/>
          <w:smallCaps/>
          <w:spacing w:val="40"/>
          <w:sz w:val="20"/>
        </w:rPr>
        <w:t> </w:t>
      </w:r>
      <w:r>
        <w:rPr>
          <w:b/>
          <w:smallCaps/>
          <w:spacing w:val="-2"/>
          <w:sz w:val="20"/>
        </w:rPr>
        <w:t>Governor</w:t>
      </w:r>
    </w:p>
    <w:p>
      <w:pPr>
        <w:spacing w:before="358"/>
        <w:ind w:left="158" w:right="438" w:hanging="75"/>
        <w:jc w:val="left"/>
        <w:rPr>
          <w:b/>
          <w:sz w:val="20"/>
        </w:rPr>
      </w:pPr>
      <w:r>
        <w:rPr/>
        <w:br w:type="column"/>
      </w:r>
      <w:r>
        <w:rPr>
          <w:b/>
          <w:smallCaps/>
          <w:sz w:val="20"/>
        </w:rPr>
        <w:t>Amanda</w:t>
      </w:r>
      <w:r>
        <w:rPr>
          <w:b/>
          <w:smallCaps/>
          <w:spacing w:val="-10"/>
          <w:sz w:val="20"/>
        </w:rPr>
        <w:t> </w:t>
      </w:r>
      <w:r>
        <w:rPr>
          <w:b/>
          <w:smallCaps/>
          <w:sz w:val="20"/>
        </w:rPr>
        <w:t>E.</w:t>
      </w:r>
      <w:r>
        <w:rPr>
          <w:b/>
          <w:smallCaps/>
          <w:spacing w:val="-10"/>
          <w:sz w:val="20"/>
        </w:rPr>
        <w:t> </w:t>
      </w:r>
      <w:r>
        <w:rPr>
          <w:b/>
          <w:smallCaps/>
          <w:sz w:val="20"/>
        </w:rPr>
        <w:t>Beal</w:t>
      </w:r>
      <w:r>
        <w:rPr>
          <w:b/>
          <w:smallCaps/>
          <w:spacing w:val="40"/>
          <w:sz w:val="20"/>
        </w:rPr>
        <w:t> </w:t>
      </w:r>
      <w:r>
        <w:rPr>
          <w:b/>
          <w:smallCaps/>
          <w:spacing w:val="-2"/>
          <w:sz w:val="20"/>
        </w:rPr>
        <w:t>Commissioner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340" w:bottom="280" w:left="1440" w:right="1080"/>
          <w:cols w:num="2" w:equalWidth="0">
            <w:col w:w="1488" w:space="6225"/>
            <w:col w:w="2007"/>
          </w:cols>
        </w:sectPr>
      </w:pPr>
    </w:p>
    <w:p>
      <w:pPr>
        <w:pStyle w:val="Title"/>
        <w:spacing w:before="309"/>
        <w:ind w:right="547" w:firstLine="664"/>
      </w:pPr>
      <w:r>
        <w:rPr/>
        <w:t>MAINE BOARD OF PESTICIDES CONTROL POLICY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DETERMING</w:t>
      </w:r>
      <w:r>
        <w:rPr>
          <w:spacing w:val="-11"/>
        </w:rPr>
        <w:t> </w:t>
      </w:r>
      <w:r>
        <w:rPr/>
        <w:t>ALLOWABLE</w:t>
      </w:r>
      <w:r>
        <w:rPr>
          <w:spacing w:val="-9"/>
        </w:rPr>
        <w:t> </w:t>
      </w:r>
      <w:r>
        <w:rPr/>
        <w:t>PESTICIDE</w:t>
      </w:r>
    </w:p>
    <w:p>
      <w:pPr>
        <w:pStyle w:val="Title"/>
        <w:ind w:left="3839"/>
      </w:pPr>
      <w:r>
        <w:rPr/>
        <w:t>APPLICATIONS</w:t>
      </w:r>
      <w:r>
        <w:rPr>
          <w:spacing w:val="-6"/>
        </w:rPr>
        <w:t> </w:t>
      </w:r>
      <w:r>
        <w:rPr/>
        <w:t>PURSUANT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CMR</w:t>
      </w:r>
      <w:r>
        <w:rPr>
          <w:spacing w:val="-8"/>
        </w:rPr>
        <w:t> </w:t>
      </w:r>
      <w:r>
        <w:rPr/>
        <w:t>01-026,</w:t>
      </w:r>
      <w:r>
        <w:rPr>
          <w:spacing w:val="-9"/>
        </w:rPr>
        <w:t> </w:t>
      </w:r>
      <w:r>
        <w:rPr/>
        <w:t>CHAPTER</w:t>
      </w:r>
      <w:r>
        <w:rPr>
          <w:spacing w:val="-8"/>
        </w:rPr>
        <w:t> </w:t>
      </w:r>
      <w:r>
        <w:rPr/>
        <w:t>29, SECTION 6</w:t>
      </w:r>
    </w:p>
    <w:p>
      <w:pPr>
        <w:pStyle w:val="BodyText"/>
        <w:spacing w:before="275"/>
        <w:ind w:right="362"/>
        <w:jc w:val="center"/>
      </w:pPr>
      <w:r>
        <w:rPr/>
        <w:t>Adopted</w:t>
      </w:r>
      <w:r>
        <w:rPr>
          <w:spacing w:val="-4"/>
        </w:rPr>
        <w:t> </w:t>
      </w:r>
      <w:r>
        <w:rPr/>
        <w:t>March</w:t>
      </w:r>
      <w:r>
        <w:rPr>
          <w:spacing w:val="-2"/>
        </w:rPr>
        <w:t> </w:t>
      </w:r>
      <w:r>
        <w:rPr/>
        <w:t>5,</w:t>
      </w:r>
      <w:r>
        <w:rPr>
          <w:spacing w:val="-1"/>
        </w:rPr>
        <w:t> </w:t>
      </w:r>
      <w:r>
        <w:rPr>
          <w:spacing w:val="-4"/>
        </w:rPr>
        <w:t>2010</w:t>
      </w:r>
    </w:p>
    <w:p>
      <w:pPr>
        <w:pStyle w:val="BodyText"/>
        <w:ind w:left="2" w:right="362"/>
        <w:jc w:val="center"/>
      </w:pPr>
      <w:r>
        <w:rPr/>
        <w:t>Revised</w:t>
      </w:r>
      <w:r>
        <w:rPr>
          <w:spacing w:val="-4"/>
        </w:rPr>
        <w:t> </w:t>
      </w:r>
      <w:r>
        <w:rPr/>
        <w:t>April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BACKGROUND</w:t>
      </w:r>
    </w:p>
    <w:p>
      <w:pPr>
        <w:pStyle w:val="BodyText"/>
        <w:rPr>
          <w:b/>
        </w:rPr>
      </w:pPr>
    </w:p>
    <w:p>
      <w:pPr>
        <w:pStyle w:val="BodyText"/>
        <w:ind w:right="350"/>
      </w:pPr>
      <w:r>
        <w:rPr/>
        <w:t>The Board amended Chapter 29 in May of 2008, adding new Sections 5 and 6.</w:t>
      </w:r>
      <w:r>
        <w:rPr>
          <w:spacing w:val="40"/>
        </w:rPr>
        <w:t> </w:t>
      </w:r>
      <w:r>
        <w:rPr/>
        <w:t>Section 6 prohibits “broadcast” application of pesticides within 25 feet of certain defined surface waters, but does not prohibit pesticide applications that are not considered broadcast applications.</w:t>
      </w:r>
      <w:r>
        <w:rPr>
          <w:spacing w:val="40"/>
        </w:rPr>
        <w:t> </w:t>
      </w:r>
      <w:r>
        <w:rPr/>
        <w:t>The staff</w:t>
      </w:r>
      <w:r>
        <w:rPr>
          <w:spacing w:val="-4"/>
        </w:rPr>
        <w:t> </w:t>
      </w:r>
      <w:r>
        <w:rPr/>
        <w:t>asked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clarification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allowed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25-foot-buffer</w:t>
      </w:r>
      <w:r>
        <w:rPr>
          <w:spacing w:val="-4"/>
        </w:rPr>
        <w:t> </w:t>
      </w:r>
      <w:r>
        <w:rPr/>
        <w:t>area.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POLICY</w:t>
      </w:r>
    </w:p>
    <w:p>
      <w:pPr>
        <w:pStyle w:val="BodyText"/>
        <w:rPr>
          <w:b/>
        </w:rPr>
      </w:pPr>
    </w:p>
    <w:p>
      <w:pPr>
        <w:pStyle w:val="BodyText"/>
        <w:ind w:right="56"/>
      </w:pPr>
      <w:r>
        <w:rPr/>
        <w:t>The Board determined that the following characteristics indicate that an application is not a broadcast</w:t>
      </w:r>
      <w:r>
        <w:rPr>
          <w:spacing w:val="-3"/>
        </w:rPr>
        <w:t> </w:t>
      </w:r>
      <w:r>
        <w:rPr/>
        <w:t>pesticide</w:t>
      </w:r>
      <w:r>
        <w:rPr>
          <w:spacing w:val="-4"/>
        </w:rPr>
        <w:t> </w:t>
      </w:r>
      <w:r>
        <w:rPr/>
        <w:t>application,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prohibited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29,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6.</w:t>
      </w:r>
      <w:r>
        <w:rPr>
          <w:spacing w:val="40"/>
        </w:rPr>
        <w:t> </w:t>
      </w:r>
      <w:r>
        <w:rPr/>
        <w:t>Pesticide applications must be: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  <w:rPr>
          <w:sz w:val="24"/>
        </w:rPr>
      </w:pPr>
      <w:r>
        <w:rPr>
          <w:sz w:val="24"/>
        </w:rPr>
        <w:t>Directed</w:t>
      </w:r>
      <w:r>
        <w:rPr>
          <w:spacing w:val="-2"/>
          <w:sz w:val="24"/>
        </w:rPr>
        <w:t> </w:t>
      </w:r>
      <w:r>
        <w:rPr>
          <w:sz w:val="24"/>
        </w:rPr>
        <w:t>away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surface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water;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481" w:hanging="720"/>
        <w:jc w:val="left"/>
        <w:rPr>
          <w:sz w:val="24"/>
        </w:rPr>
      </w:pPr>
      <w:r>
        <w:rPr>
          <w:sz w:val="24"/>
        </w:rPr>
        <w:t>Directed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5"/>
          <w:sz w:val="24"/>
        </w:rPr>
        <w:t> </w:t>
      </w:r>
      <w:r>
        <w:rPr>
          <w:sz w:val="24"/>
        </w:rPr>
        <w:t>pest</w:t>
      </w:r>
      <w:r>
        <w:rPr>
          <w:spacing w:val="-2"/>
          <w:sz w:val="24"/>
        </w:rPr>
        <w:t> </w:t>
      </w:r>
      <w:r>
        <w:rPr>
          <w:sz w:val="24"/>
        </w:rPr>
        <w:t>organisms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infestations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manner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minimizes</w:t>
      </w:r>
      <w:r>
        <w:rPr>
          <w:spacing w:val="-4"/>
          <w:sz w:val="24"/>
        </w:rPr>
        <w:t> </w:t>
      </w:r>
      <w:r>
        <w:rPr>
          <w:sz w:val="24"/>
        </w:rPr>
        <w:t>deposition to non-target species and areas;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94" w:hanging="72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non-powered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equipment</w:t>
      </w:r>
      <w:r>
        <w:rPr>
          <w:spacing w:val="-5"/>
          <w:sz w:val="24"/>
        </w:rPr>
        <w:t> </w:t>
      </w:r>
      <w:r>
        <w:rPr>
          <w:sz w:val="24"/>
        </w:rPr>
        <w:t>capable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targeting</w:t>
      </w:r>
      <w:r>
        <w:rPr>
          <w:spacing w:val="-3"/>
          <w:sz w:val="24"/>
        </w:rPr>
        <w:t> </w:t>
      </w:r>
      <w:r>
        <w:rPr>
          <w:sz w:val="24"/>
        </w:rPr>
        <w:t>pest</w:t>
      </w:r>
      <w:r>
        <w:rPr>
          <w:spacing w:val="-5"/>
          <w:sz w:val="24"/>
        </w:rPr>
        <w:t> </w:t>
      </w:r>
      <w:r>
        <w:rPr>
          <w:sz w:val="24"/>
        </w:rPr>
        <w:t>organisms while avoiding non-target species;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513" w:hanging="72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calendar</w:t>
      </w:r>
      <w:r>
        <w:rPr>
          <w:spacing w:val="-3"/>
          <w:sz w:val="24"/>
        </w:rPr>
        <w:t> </w:t>
      </w:r>
      <w:r>
        <w:rPr>
          <w:sz w:val="24"/>
        </w:rPr>
        <w:t>year,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confined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20%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located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25 feet of surface water; and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1041" w:hanging="72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calendar</w:t>
      </w:r>
      <w:r>
        <w:rPr>
          <w:spacing w:val="-4"/>
          <w:sz w:val="24"/>
        </w:rPr>
        <w:t> </w:t>
      </w:r>
      <w:r>
        <w:rPr>
          <w:sz w:val="24"/>
        </w:rPr>
        <w:t>year,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contiguous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greater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100 square feet.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1"/>
        <w:rPr>
          <w:sz w:val="16"/>
        </w:rPr>
      </w:pPr>
    </w:p>
    <w:p>
      <w:pPr>
        <w:tabs>
          <w:tab w:pos="6931" w:val="left" w:leader="none"/>
        </w:tabs>
        <w:spacing w:before="0"/>
        <w:ind w:left="0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3143250</wp:posOffset>
            </wp:positionH>
            <wp:positionV relativeFrom="paragraph">
              <wp:posOffset>-318125</wp:posOffset>
            </wp:positionV>
            <wp:extent cx="1481378" cy="11245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78" cy="11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A</w:t>
      </w:r>
      <w:r>
        <w:rPr>
          <w:b/>
          <w:spacing w:val="-2"/>
          <w:sz w:val="16"/>
        </w:rPr>
        <w:t>LEXANDER</w:t>
      </w:r>
      <w:r>
        <w:rPr>
          <w:b/>
          <w:spacing w:val="9"/>
          <w:sz w:val="16"/>
        </w:rPr>
        <w:t> </w:t>
      </w:r>
      <w:r>
        <w:rPr>
          <w:b/>
          <w:spacing w:val="-2"/>
          <w:sz w:val="20"/>
        </w:rPr>
        <w:t>P</w:t>
      </w:r>
      <w:r>
        <w:rPr>
          <w:b/>
          <w:spacing w:val="-2"/>
          <w:sz w:val="16"/>
        </w:rPr>
        <w:t>EACOCK</w:t>
      </w:r>
      <w:r>
        <w:rPr>
          <w:b/>
          <w:spacing w:val="-2"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D</w:t>
      </w:r>
      <w:r>
        <w:rPr>
          <w:b/>
          <w:spacing w:val="-2"/>
          <w:sz w:val="16"/>
        </w:rPr>
        <w:t>IRECTOR</w:t>
      </w:r>
      <w:r>
        <w:rPr>
          <w:b/>
          <w:sz w:val="16"/>
        </w:rPr>
        <w:tab/>
      </w:r>
      <w:r>
        <w:rPr>
          <w:spacing w:val="-2"/>
          <w:sz w:val="18"/>
        </w:rPr>
        <w:t>P</w:t>
      </w:r>
      <w:r>
        <w:rPr>
          <w:spacing w:val="-2"/>
          <w:sz w:val="14"/>
        </w:rPr>
        <w:t>HONE</w:t>
      </w:r>
      <w:r>
        <w:rPr>
          <w:spacing w:val="-2"/>
          <w:sz w:val="18"/>
        </w:rPr>
        <w:t>: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(207)</w:t>
      </w:r>
      <w:r>
        <w:rPr>
          <w:sz w:val="18"/>
        </w:rPr>
        <w:t> </w:t>
      </w:r>
      <w:r>
        <w:rPr>
          <w:spacing w:val="-2"/>
          <w:sz w:val="18"/>
        </w:rPr>
        <w:t>287-</w:t>
      </w:r>
      <w:r>
        <w:rPr>
          <w:spacing w:val="-4"/>
          <w:sz w:val="18"/>
        </w:rPr>
        <w:t>2731</w:t>
      </w:r>
    </w:p>
    <w:p>
      <w:pPr>
        <w:tabs>
          <w:tab w:pos="6931" w:val="left" w:leader="none"/>
        </w:tabs>
        <w:spacing w:before="0"/>
        <w:ind w:left="0" w:right="0" w:firstLine="0"/>
        <w:jc w:val="left"/>
        <w:rPr>
          <w:sz w:val="14"/>
        </w:rPr>
      </w:pPr>
      <w:r>
        <w:rPr>
          <w:sz w:val="20"/>
        </w:rPr>
        <w:t>90</w:t>
      </w:r>
      <w:r>
        <w:rPr>
          <w:spacing w:val="-13"/>
          <w:sz w:val="20"/>
        </w:rPr>
        <w:t> </w:t>
      </w:r>
      <w:r>
        <w:rPr>
          <w:sz w:val="20"/>
        </w:rPr>
        <w:t>B</w:t>
      </w:r>
      <w:r>
        <w:rPr>
          <w:sz w:val="16"/>
        </w:rPr>
        <w:t>LOSSOM</w:t>
      </w:r>
      <w:r>
        <w:rPr>
          <w:spacing w:val="-10"/>
          <w:sz w:val="16"/>
        </w:rPr>
        <w:t> </w:t>
      </w:r>
      <w:r>
        <w:rPr>
          <w:sz w:val="20"/>
        </w:rPr>
        <w:t>L</w:t>
      </w:r>
      <w:r>
        <w:rPr>
          <w:sz w:val="16"/>
        </w:rPr>
        <w:t>ANE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D</w:t>
      </w:r>
      <w:r>
        <w:rPr>
          <w:sz w:val="16"/>
        </w:rPr>
        <w:t>EERING</w:t>
      </w:r>
      <w:r>
        <w:rPr>
          <w:spacing w:val="-7"/>
          <w:sz w:val="16"/>
        </w:rPr>
        <w:t> </w:t>
      </w:r>
      <w:r>
        <w:rPr>
          <w:spacing w:val="-2"/>
          <w:sz w:val="20"/>
        </w:rPr>
        <w:t>B</w:t>
      </w:r>
      <w:r>
        <w:rPr>
          <w:spacing w:val="-2"/>
          <w:sz w:val="16"/>
        </w:rPr>
        <w:t>UILDING</w:t>
      </w:r>
      <w:r>
        <w:rPr>
          <w:sz w:val="16"/>
        </w:rPr>
        <w:tab/>
      </w:r>
      <w:hyperlink r:id="rId7">
        <w:r>
          <w:rPr>
            <w:spacing w:val="-2"/>
            <w:sz w:val="14"/>
          </w:rPr>
          <w:t>WWW</w:t>
        </w:r>
        <w:r>
          <w:rPr>
            <w:spacing w:val="-2"/>
            <w:sz w:val="18"/>
          </w:rPr>
          <w:t>.</w:t>
        </w:r>
        <w:r>
          <w:rPr>
            <w:spacing w:val="-2"/>
            <w:sz w:val="14"/>
          </w:rPr>
          <w:t>THINKFIRSTSPRAYLAST</w:t>
        </w:r>
        <w:r>
          <w:rPr>
            <w:spacing w:val="-2"/>
            <w:sz w:val="18"/>
          </w:rPr>
          <w:t>.</w:t>
        </w:r>
        <w:r>
          <w:rPr>
            <w:spacing w:val="-2"/>
            <w:sz w:val="14"/>
          </w:rPr>
          <w:t>ORG</w:t>
        </w:r>
      </w:hyperlink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4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9" w:after="0"/>
        <w:ind w:left="720" w:right="409" w:hanging="720"/>
        <w:jc w:val="left"/>
        <w:rPr>
          <w:sz w:val="24"/>
        </w:rPr>
      </w:pPr>
      <w:r>
        <w:rPr>
          <w:sz w:val="24"/>
          <w:u w:val="single"/>
        </w:rPr>
        <w:t>During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calendar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year,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cut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stump/stem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and/or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direct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injection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treatments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control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z w:val="24"/>
          <w:u w:val="none"/>
        </w:rPr>
        <w:t> </w:t>
      </w:r>
      <w:r>
        <w:rPr>
          <w:sz w:val="24"/>
          <w:u w:val="single"/>
        </w:rPr>
        <w:t>Japanese Knotweed (</w:t>
      </w:r>
      <w:r>
        <w:rPr>
          <w:i/>
          <w:sz w:val="24"/>
          <w:u w:val="single"/>
        </w:rPr>
        <w:t>Fallopia japonica, syn. Polygonum cuspidatum, Reynoutria</w:t>
      </w:r>
      <w:r>
        <w:rPr>
          <w:i/>
          <w:sz w:val="24"/>
          <w:u w:val="none"/>
        </w:rPr>
        <w:t> </w:t>
      </w:r>
      <w:r>
        <w:rPr>
          <w:i/>
          <w:sz w:val="24"/>
          <w:u w:val="single"/>
        </w:rPr>
        <w:t>japonica</w:t>
      </w:r>
      <w:r>
        <w:rPr>
          <w:sz w:val="24"/>
          <w:u w:val="single"/>
        </w:rPr>
        <w:t>) does not cover any one contiguous area greater than 100 square feet.</w:t>
      </w:r>
    </w:p>
    <w:p>
      <w:pPr>
        <w:pStyle w:val="BodyText"/>
      </w:pPr>
    </w:p>
    <w:p>
      <w:pPr>
        <w:pStyle w:val="BodyText"/>
        <w:ind w:left="720" w:right="350" w:hanging="720"/>
      </w:pPr>
      <w:r>
        <w:rPr>
          <w:b/>
        </w:rPr>
        <w:t>Notes:</w:t>
      </w:r>
      <w:r>
        <w:rPr>
          <w:b/>
          <w:spacing w:val="40"/>
        </w:rPr>
        <w:t> </w:t>
      </w:r>
      <w:r>
        <w:rPr/>
        <w:t>Use of herbicides within 25 feet of a surface water must not violate shore land zoning requirements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Protection Act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vegetation</w:t>
      </w:r>
      <w:r>
        <w:rPr>
          <w:spacing w:val="-2"/>
        </w:rPr>
        <w:t> </w:t>
      </w:r>
      <w:r>
        <w:rPr/>
        <w:t>removal.</w:t>
      </w:r>
      <w:r>
        <w:rPr>
          <w:spacing w:val="40"/>
        </w:rPr>
        <w:t> </w:t>
      </w:r>
      <w:r>
        <w:rPr/>
        <w:t>In addition to limiting tree removal and trimming, minimum shore land zoning requirements also prohibit removal of vegetation under three feet in height, other ground cover, leaf littler and</w:t>
      </w:r>
      <w:r>
        <w:rPr>
          <w:spacing w:val="-3"/>
        </w:rPr>
        <w:t> </w:t>
      </w:r>
      <w:r>
        <w:rPr/>
        <w:t>forest</w:t>
      </w:r>
      <w:r>
        <w:rPr>
          <w:spacing w:val="-3"/>
        </w:rPr>
        <w:t> </w:t>
      </w:r>
      <w:r>
        <w:rPr/>
        <w:t>duff.</w:t>
      </w:r>
      <w:r>
        <w:rPr>
          <w:spacing w:val="40"/>
        </w:rPr>
        <w:t> </w:t>
      </w:r>
      <w:r>
        <w:rPr/>
        <w:t>Consult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ordinance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 the shore land zone or the Land Division staff at the Department of Environmental Protection for locations outside the shore land zone.</w:t>
      </w:r>
      <w:r>
        <w:rPr>
          <w:spacing w:val="40"/>
        </w:rPr>
        <w:t> </w:t>
      </w:r>
      <w:r>
        <w:rPr/>
        <w:t>Consult the municipal code enforcement officer about treatment of invasive vegetation.</w:t>
      </w:r>
      <w:r>
        <w:rPr>
          <w:spacing w:val="40"/>
        </w:rPr>
        <w:t> </w:t>
      </w:r>
      <w:r>
        <w:rPr/>
        <w:t>For regulations covering Maine’s unorganized territories, contact the Maine Land Use Regulation Commission.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41" w:right="56" w:hanging="356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THINKFIRSTSPRAYLAST.OR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Maine, DAFS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Peacock, Alexander R</dc:creator>
  <dc:title>Board of Pesticides Control Letterhead</dc:title>
  <dcterms:created xsi:type="dcterms:W3CDTF">2025-06-06T18:49:19Z</dcterms:created>
  <dcterms:modified xsi:type="dcterms:W3CDTF">2025-06-06T18:49:19Z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0x010100D07F850175B02440871BB3143224CF24</vt:lpwstr>
  </property>
  <property fmtid="{D5CDD505-2E9C-101B-9397-08002B2CF9AE}" pid="3" name="Created">
    <vt:filetime>2025-04-17T00:00:00Z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c6549ac28aa176a177a0eb238f9e2cbd64efaeef8e064b1f97bdde92995d96b8</vt:lpwstr>
  </property>
  <property fmtid="{D5CDD505-2E9C-101B-9397-08002B2CF9AE}" pid="6" name="LastSaved">
    <vt:filetime>2025-06-06T00:00:00Z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25.1.234</vt:lpwstr>
  </property>
  <property fmtid="{D5CDD505-2E9C-101B-9397-08002B2CF9AE}" pid="9" name="SourceModified">
    <vt:lpwstr>D:20250417195028</vt:lpwstr>
  </property>
</Properties>
</file>