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jc w:val="center"/>
        <w:rPr>
          <w:rFonts w:ascii="Times New Roman" w:hAnsi="Times New Roman" w:cs="Times New Roman"/>
          <w:b/>
          <w:bCs/>
          <w:color w:val="162C4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162C40"/>
          <w:sz w:val="32"/>
          <w:szCs w:val="32"/>
        </w:rPr>
        <w:t>Annual Inventory, Reconciliation and Inspection of Storage Facilities Storing USDA Foods</w:t>
      </w:r>
    </w:p>
    <w:p>
      <w:pPr>
        <w:jc w:val="right"/>
        <w:rPr>
          <w:rFonts w:ascii="Times New Roman" w:hAnsi="Times New Roman" w:cs="Times New Roman"/>
          <w:b/>
          <w:color w:val="162C40"/>
          <w:sz w:val="24"/>
          <w:szCs w:val="24"/>
        </w:rPr>
      </w:pP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162C40"/>
          <w:sz w:val="24"/>
          <w:szCs w:val="24"/>
        </w:rPr>
        <w:t>Implementation Date</w:t>
      </w:r>
      <w:r>
        <w:rPr>
          <w:rFonts w:ascii="Times New Roman" w:hAnsi="Times New Roman" w:cs="Times New Roman"/>
          <w:sz w:val="24"/>
          <w:szCs w:val="24"/>
        </w:rPr>
        <w:t>: April 1, 2020</w:t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162C40"/>
          <w:sz w:val="24"/>
          <w:szCs w:val="24"/>
        </w:rPr>
        <w:t>Revised Date</w:t>
      </w:r>
      <w:r>
        <w:rPr>
          <w:rFonts w:ascii="Times New Roman" w:hAnsi="Times New Roman" w:cs="Times New Roman"/>
          <w:sz w:val="24"/>
          <w:szCs w:val="24"/>
        </w:rPr>
        <w:t>: November 18, 2020</w:t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color w:val="162C40"/>
          <w:sz w:val="24"/>
          <w:szCs w:val="24"/>
        </w:rPr>
        <w:t>Next Review Date</w:t>
      </w:r>
      <w:r>
        <w:rPr>
          <w:rFonts w:ascii="Times New Roman" w:hAnsi="Times New Roman" w:cs="Times New Roman"/>
          <w:sz w:val="24"/>
          <w:szCs w:val="24"/>
        </w:rPr>
        <w:t>: April 1, 2021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162C40"/>
          <w:sz w:val="24"/>
          <w:szCs w:val="24"/>
        </w:rPr>
        <w:t>Purpose</w:t>
      </w:r>
      <w:r>
        <w:rPr>
          <w:rFonts w:ascii="Times New Roman" w:hAnsi="Times New Roman" w:cs="Times New Roman"/>
          <w:sz w:val="24"/>
          <w:szCs w:val="24"/>
        </w:rPr>
        <w:t>: Annual; storage review and reconcile warehouse inventory to DOE inventory, physical inventory and annual physical inspection.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162C40"/>
          <w:sz w:val="24"/>
          <w:szCs w:val="24"/>
        </w:rPr>
        <w:t>Applicable Audience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9357" w:type="dxa"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40"/>
      </w:tblGrid>
      <w:tr>
        <w:tc>
          <w:tcPr>
            <w:tcW w:w="2339" w:type="dxa"/>
            <w:shd w:val="clear" w:color="auto" w:fill="6D8BA6"/>
          </w:tcPr>
          <w:p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Office</w:t>
            </w:r>
          </w:p>
        </w:tc>
        <w:tc>
          <w:tcPr>
            <w:tcW w:w="2339" w:type="dxa"/>
            <w:shd w:val="clear" w:color="auto" w:fill="6D8BA6"/>
          </w:tcPr>
          <w:p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Division</w:t>
            </w:r>
          </w:p>
        </w:tc>
        <w:tc>
          <w:tcPr>
            <w:tcW w:w="2339" w:type="dxa"/>
            <w:shd w:val="clear" w:color="auto" w:fill="6D8BA6"/>
          </w:tcPr>
          <w:p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Section</w:t>
            </w:r>
          </w:p>
        </w:tc>
        <w:tc>
          <w:tcPr>
            <w:tcW w:w="2340" w:type="dxa"/>
            <w:shd w:val="clear" w:color="auto" w:fill="6D8BA6"/>
          </w:tcPr>
          <w:p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62C40"/>
                <w:sz w:val="24"/>
                <w:szCs w:val="24"/>
              </w:rPr>
              <w:t>Position</w:t>
            </w:r>
          </w:p>
        </w:tc>
      </w:tr>
      <w:tr>
        <w:tc>
          <w:tcPr>
            <w:tcW w:w="2339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School Finance &amp; Operations</w:t>
            </w:r>
          </w:p>
        </w:tc>
        <w:tc>
          <w:tcPr>
            <w:tcW w:w="2339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Child Nutrition</w:t>
            </w:r>
          </w:p>
        </w:tc>
        <w:tc>
          <w:tcPr>
            <w:tcW w:w="2339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USDA Foods</w:t>
            </w:r>
          </w:p>
        </w:tc>
        <w:tc>
          <w:tcPr>
            <w:tcW w:w="234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Commodities Coordinator</w:t>
            </w:r>
          </w:p>
        </w:tc>
      </w:tr>
      <w:tr>
        <w:tc>
          <w:tcPr>
            <w:tcW w:w="2339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9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9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339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9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9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  <w:tr>
        <w:tc>
          <w:tcPr>
            <w:tcW w:w="2339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9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9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</w:tr>
    </w:tbl>
    <w:p>
      <w:pPr>
        <w:spacing w:after="0"/>
        <w:ind w:firstLine="720"/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162C40"/>
          <w:sz w:val="24"/>
          <w:szCs w:val="24"/>
        </w:rPr>
        <w:t>Definitions</w:t>
      </w:r>
      <w:r>
        <w:rPr>
          <w:rFonts w:ascii="Times New Roman" w:hAnsi="Times New Roman" w:cs="Times New Roman"/>
          <w:sz w:val="24"/>
          <w:szCs w:val="24"/>
        </w:rPr>
        <w:t>: n/a</w:t>
      </w:r>
    </w:p>
    <w:p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162C40"/>
          <w:sz w:val="24"/>
          <w:szCs w:val="24"/>
        </w:rPr>
        <w:t>Statutes, Rules or References</w:t>
      </w:r>
      <w:r>
        <w:rPr>
          <w:rFonts w:ascii="Times New Roman" w:hAnsi="Times New Roman" w:cs="Times New Roman"/>
          <w:sz w:val="24"/>
          <w:szCs w:val="24"/>
        </w:rPr>
        <w:t>:</w:t>
      </w:r>
    </w:p>
    <w:p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CFR 250</w:t>
      </w:r>
    </w:p>
    <w:p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USDA Memo 052</w:t>
      </w:r>
    </w:p>
    <w:p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USDA memo 058</w:t>
      </w:r>
    </w:p>
    <w:p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Maine Department of Education USDA Food Loss &amp; Claim Procedure</w:t>
      </w:r>
    </w:p>
    <w:p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162C40"/>
          <w:sz w:val="24"/>
          <w:szCs w:val="24"/>
        </w:rPr>
        <w:t>Tasks, Responsibilities and Accountabilities</w:t>
      </w:r>
      <w:r>
        <w:rPr>
          <w:rFonts w:ascii="Times New Roman" w:hAnsi="Times New Roman" w:cs="Times New Roman"/>
          <w:sz w:val="24"/>
          <w:szCs w:val="24"/>
        </w:rPr>
        <w:t>:</w:t>
      </w:r>
    </w:p>
    <w:p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USDA commodity coordinator</w:t>
      </w:r>
    </w:p>
    <w:p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162C40"/>
          <w:sz w:val="24"/>
          <w:szCs w:val="24"/>
        </w:rPr>
        <w:t>Procedure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Year-end inventory procedure</w:t>
      </w:r>
    </w:p>
    <w:p>
      <w:pPr>
        <w:numPr>
          <w:ilvl w:val="0"/>
          <w:numId w:val="4"/>
        </w:numPr>
        <w:rPr>
          <w:rFonts w:eastAsiaTheme="minorEastAsia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be completed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annually by the end of June. </w:t>
      </w:r>
    </w:p>
    <w:p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Conduct a 100% physical inventory of all USDA Foods, including all processed end items</w:t>
      </w:r>
    </w:p>
    <w:p>
      <w:pPr>
        <w:numPr>
          <w:ilvl w:val="0"/>
          <w:numId w:val="4"/>
        </w:numPr>
        <w:rPr>
          <w:rFonts w:eastAsiaTheme="minorEastAsia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Conduct a complete reconciliation of all USDA</w:t>
      </w:r>
      <w:r>
        <w:rPr>
          <w:rFonts w:ascii="Times New Roman" w:hAnsi="Times New Roman" w:cs="Times New Roman"/>
          <w:sz w:val="24"/>
          <w:szCs w:val="24"/>
        </w:rPr>
        <w:t xml:space="preserve"> physical inventory </w:t>
      </w:r>
      <w:r>
        <w:rPr>
          <w:rFonts w:ascii="Times New Roman" w:eastAsia="Times New Roman" w:hAnsi="Times New Roman" w:cs="Times New Roman"/>
          <w:sz w:val="24"/>
          <w:szCs w:val="24"/>
        </w:rPr>
        <w:t>numbers to State book inventory numbers in order to have accurate counts for the startup of the new school year.</w:t>
      </w:r>
    </w:p>
    <w:p>
      <w:pPr>
        <w:numPr>
          <w:ilvl w:val="0"/>
          <w:numId w:val="4"/>
        </w:numPr>
        <w:rPr>
          <w:rFonts w:eastAsiaTheme="minorEastAsia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State will allow state approved offsetting in accordance with FNS Policy Memos #052 and #058; Offsetting will only occur in conjunction with the annual physical inventory and not at other times.</w:t>
      </w:r>
    </w:p>
    <w:p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will look for other warehouse issues related to USDA Food Distribution program and complete required annual warehouse review documentation for all storage facilities including any sub contracted facilities.  (attached)</w:t>
      </w:r>
    </w:p>
    <w:p>
      <w:pPr>
        <w:numPr>
          <w:ilvl w:val="0"/>
          <w:numId w:val="4"/>
        </w:numPr>
        <w:rPr>
          <w:rFonts w:eastAsiaTheme="minorEastAsia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All shortages, after the State has applied its allowed offsets as part of the reconciliation, will be treated as a USDA food loss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eastAsia="Times New Roman" w:hAnsi="Times New Roman" w:cs="Times New Roman"/>
          <w:sz w:val="24"/>
          <w:szCs w:val="24"/>
        </w:rPr>
        <w:t>The State will make a claim determination in accordance with the State’s procedure and FNS regulations and Instructions.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Beginning of School Year Procedure</w:t>
      </w:r>
    </w:p>
    <w:p>
      <w:pPr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to take a physical inventory and reconcile all processed items.</w:t>
      </w:r>
    </w:p>
    <w:p>
      <w:pPr>
        <w:numPr>
          <w:ilvl w:val="1"/>
          <w:numId w:val="5"/>
        </w:numPr>
        <w:rPr>
          <w:rFonts w:eastAsiaTheme="minorEastAsia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State will undertake this inventory process to</w:t>
      </w:r>
      <w:r>
        <w:rPr>
          <w:rFonts w:ascii="Times New Roman" w:hAnsi="Times New Roman" w:cs="Times New Roman"/>
          <w:sz w:val="24"/>
          <w:szCs w:val="24"/>
        </w:rPr>
        <w:t xml:space="preserve"> be performed at the end of October or within 30 days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as agreed upon with the storage facility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>
      <w:pPr>
        <w:numPr>
          <w:ilvl w:val="1"/>
          <w:numId w:val="5"/>
        </w:numPr>
        <w:rPr>
          <w:rFonts w:eastAsiaTheme="minorEastAsia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State will also conduct</w:t>
      </w:r>
      <w:r>
        <w:rPr>
          <w:rFonts w:ascii="Times New Roman" w:hAnsi="Times New Roman" w:cs="Times New Roman"/>
          <w:sz w:val="24"/>
          <w:szCs w:val="24"/>
        </w:rPr>
        <w:t xml:space="preserve"> a sample physical inventory of USDA brown box items (preference given to one frozen, one refrigerator and one dry).  A minimum of three items will be chosen.</w:t>
      </w:r>
    </w:p>
    <w:p>
      <w:pPr>
        <w:numPr>
          <w:ilvl w:val="1"/>
          <w:numId w:val="5"/>
        </w:numPr>
        <w:rPr>
          <w:rFonts w:eastAsiaTheme="minorEastAsia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will compare physical inventory of the 3 selected items to the storage facility’s reported inventory and DOE’s perpetual inventory </w:t>
      </w:r>
      <w:r>
        <w:rPr>
          <w:rFonts w:ascii="Times New Roman" w:eastAsia="Times New Roman" w:hAnsi="Times New Roman" w:cs="Times New Roman"/>
          <w:sz w:val="24"/>
          <w:szCs w:val="24"/>
        </w:rPr>
        <w:t>and will make necessary adjustments to both book inventories.</w:t>
      </w:r>
    </w:p>
    <w:p>
      <w:pPr>
        <w:numPr>
          <w:ilvl w:val="1"/>
          <w:numId w:val="5"/>
        </w:numPr>
        <w:rPr>
          <w:rFonts w:eastAsiaTheme="minorEastAsia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All shortages will be treated as a food loss claim and the State will need to make a claim determination.</w:t>
      </w:r>
    </w:p>
    <w:p>
      <w:pPr>
        <w:numPr>
          <w:ilvl w:val="1"/>
          <w:numId w:val="5"/>
        </w:numPr>
        <w:rPr>
          <w:rFonts w:eastAsiaTheme="minorEastAsia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While on site, the state will</w:t>
      </w:r>
      <w:r>
        <w:rPr>
          <w:rFonts w:ascii="Times New Roman" w:hAnsi="Times New Roman" w:cs="Times New Roman"/>
          <w:sz w:val="24"/>
          <w:szCs w:val="24"/>
        </w:rPr>
        <w:t xml:space="preserve"> look for miscellaneous cases and small amounts of product not on showing DOE’s perpetual inventory.  State will also look in storage facility’s location of broken cases and small amount.</w:t>
      </w:r>
    </w:p>
    <w:p>
      <w:pPr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will look for damaged product on walk around and in the designated damage location.  </w:t>
      </w:r>
    </w:p>
    <w:p>
      <w:pPr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will look for other warehouse issues related to USDA Food Distribution program.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Mid-school Year Procedure</w:t>
      </w:r>
    </w:p>
    <w:p>
      <w:pPr>
        <w:numPr>
          <w:ilvl w:val="0"/>
          <w:numId w:val="6"/>
        </w:numPr>
        <w:rPr>
          <w:rFonts w:eastAsiaTheme="minorEastAsia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State to take a physical i</w:t>
      </w:r>
      <w:r>
        <w:rPr>
          <w:rFonts w:ascii="Times New Roman" w:hAnsi="Times New Roman" w:cs="Times New Roman"/>
          <w:sz w:val="24"/>
          <w:szCs w:val="24"/>
        </w:rPr>
        <w:t>nventory and reconcile all processed items.</w:t>
      </w:r>
    </w:p>
    <w:p>
      <w:pPr>
        <w:numPr>
          <w:ilvl w:val="0"/>
          <w:numId w:val="6"/>
        </w:numPr>
        <w:rPr>
          <w:rFonts w:eastAsiaTheme="minorEastAsia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State will undertake this procedure at the</w:t>
      </w:r>
      <w:r>
        <w:rPr>
          <w:rFonts w:ascii="Times New Roman" w:hAnsi="Times New Roman" w:cs="Times New Roman"/>
          <w:sz w:val="24"/>
          <w:szCs w:val="24"/>
        </w:rPr>
        <w:t xml:space="preserve"> end of February or within 30 days </w:t>
      </w:r>
      <w:r>
        <w:rPr>
          <w:rFonts w:ascii="Times New Roman" w:eastAsia="Times New Roman" w:hAnsi="Times New Roman" w:cs="Times New Roman"/>
          <w:sz w:val="24"/>
          <w:szCs w:val="24"/>
        </w:rPr>
        <w:t>as agreed upon with the storage facility.</w:t>
      </w:r>
    </w:p>
    <w:p>
      <w:pPr>
        <w:numPr>
          <w:ilvl w:val="0"/>
          <w:numId w:val="6"/>
        </w:numPr>
        <w:rPr>
          <w:rFonts w:eastAsiaTheme="minorEastAsia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State will also conduct a complete physical inventory of all USDA foods (in addition to processed items).</w:t>
      </w:r>
    </w:p>
    <w:p>
      <w:pPr>
        <w:numPr>
          <w:ilvl w:val="0"/>
          <w:numId w:val="6"/>
        </w:numPr>
        <w:rPr>
          <w:rFonts w:eastAsiaTheme="minorEastAsia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State will conduct a complete reconciliation of all USDA foods; offsetting is not allowed at this mid-school year physical inventory.</w:t>
      </w:r>
    </w:p>
    <w:p>
      <w:pPr>
        <w:pStyle w:val="ListParagraph"/>
        <w:numPr>
          <w:ilvl w:val="0"/>
          <w:numId w:val="6"/>
        </w:numPr>
        <w:spacing w:line="257" w:lineRule="auto"/>
        <w:rPr>
          <w:rFonts w:eastAsiaTheme="minorEastAsia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All shortages will be treated as a food loss claim and the State will need to make a claim determination.</w:t>
      </w:r>
    </w:p>
    <w:p>
      <w:pPr>
        <w:numPr>
          <w:ilvl w:val="0"/>
          <w:numId w:val="6"/>
        </w:numPr>
        <w:rPr>
          <w:rFonts w:eastAsiaTheme="minorEastAsia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will look for other warehouse issues related to USDA Food Distribution program.</w:t>
      </w:r>
    </w:p>
    <w:p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will look for miscellaneous cases and small amounts of product not on DOE inventory</w:t>
      </w:r>
    </w:p>
    <w:p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will look for damaged product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162C40"/>
          <w:sz w:val="24"/>
          <w:szCs w:val="24"/>
        </w:rPr>
        <w:t>Roles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2335"/>
        <w:gridCol w:w="2790"/>
        <w:gridCol w:w="3060"/>
        <w:gridCol w:w="1170"/>
      </w:tblGrid>
      <w:tr>
        <w:tc>
          <w:tcPr>
            <w:tcW w:w="2335" w:type="dxa"/>
            <w:shd w:val="clear" w:color="auto" w:fill="6D8BA6"/>
          </w:tcPr>
          <w:p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62C40"/>
                <w:sz w:val="24"/>
                <w:szCs w:val="24"/>
              </w:rPr>
              <w:t>Key Contact</w:t>
            </w:r>
          </w:p>
        </w:tc>
        <w:tc>
          <w:tcPr>
            <w:tcW w:w="2790" w:type="dxa"/>
            <w:shd w:val="clear" w:color="auto" w:fill="6D8BA6"/>
          </w:tcPr>
          <w:p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62C40"/>
                <w:sz w:val="24"/>
                <w:szCs w:val="24"/>
              </w:rPr>
              <w:t>Position</w:t>
            </w:r>
          </w:p>
        </w:tc>
        <w:tc>
          <w:tcPr>
            <w:tcW w:w="3060" w:type="dxa"/>
            <w:shd w:val="clear" w:color="auto" w:fill="6D8BA6"/>
          </w:tcPr>
          <w:p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62C40"/>
                <w:sz w:val="24"/>
                <w:szCs w:val="24"/>
              </w:rPr>
              <w:t>Email</w:t>
            </w:r>
          </w:p>
        </w:tc>
        <w:tc>
          <w:tcPr>
            <w:tcW w:w="1170" w:type="dxa"/>
            <w:shd w:val="clear" w:color="auto" w:fill="6D8BA6"/>
          </w:tcPr>
          <w:p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62C40"/>
                <w:sz w:val="24"/>
                <w:szCs w:val="24"/>
              </w:rPr>
              <w:t>Phone Number</w:t>
            </w:r>
          </w:p>
        </w:tc>
      </w:tr>
      <w:tr>
        <w:tc>
          <w:tcPr>
            <w:tcW w:w="233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Walter Beesley</w:t>
            </w:r>
          </w:p>
        </w:tc>
        <w:tc>
          <w:tcPr>
            <w:tcW w:w="2790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Child Nutrition Director</w:t>
            </w:r>
          </w:p>
        </w:tc>
        <w:tc>
          <w:tcPr>
            <w:tcW w:w="3060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Walter.beesley@maine.gov</w:t>
              </w:r>
            </w:hyperlink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624-6875</w:t>
            </w:r>
          </w:p>
        </w:tc>
      </w:tr>
      <w:tr>
        <w:tc>
          <w:tcPr>
            <w:tcW w:w="233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Terri Fitzgerald</w:t>
            </w:r>
          </w:p>
        </w:tc>
        <w:tc>
          <w:tcPr>
            <w:tcW w:w="2790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Commodity Coordinator</w:t>
            </w:r>
          </w:p>
        </w:tc>
        <w:tc>
          <w:tcPr>
            <w:tcW w:w="3060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terri.fitzgerald@maine.gov</w:t>
              </w:r>
            </w:hyperlink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rPr>
          <w:rFonts w:ascii="Times New Roman" w:hAnsi="Times New Roman" w:cs="Times New Roman"/>
          <w:b/>
          <w:color w:val="162C40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162C40"/>
          <w:sz w:val="24"/>
          <w:szCs w:val="24"/>
        </w:rPr>
        <w:t>Document History &amp; Distribution</w:t>
      </w:r>
      <w:r>
        <w:rPr>
          <w:rFonts w:ascii="Times New Roman" w:hAnsi="Times New Roman" w:cs="Times New Roman"/>
          <w:sz w:val="24"/>
          <w:szCs w:val="24"/>
        </w:rPr>
        <w:t>:</w:t>
      </w:r>
    </w:p>
    <w:p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document will be distributed to Maine DOE staff and posted on the Maine Department of Education Intranet.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>
        <w:tc>
          <w:tcPr>
            <w:tcW w:w="3116" w:type="dxa"/>
            <w:shd w:val="clear" w:color="auto" w:fill="6D8BA6"/>
          </w:tcPr>
          <w:p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62C40"/>
                <w:sz w:val="24"/>
                <w:szCs w:val="24"/>
              </w:rPr>
              <w:t>Version</w:t>
            </w:r>
          </w:p>
        </w:tc>
        <w:tc>
          <w:tcPr>
            <w:tcW w:w="3117" w:type="dxa"/>
            <w:shd w:val="clear" w:color="auto" w:fill="6D8BA6"/>
          </w:tcPr>
          <w:p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62C40"/>
                <w:sz w:val="24"/>
                <w:szCs w:val="24"/>
              </w:rPr>
              <w:t>Revision Log</w:t>
            </w:r>
          </w:p>
        </w:tc>
        <w:tc>
          <w:tcPr>
            <w:tcW w:w="3117" w:type="dxa"/>
            <w:shd w:val="clear" w:color="auto" w:fill="6D8BA6"/>
          </w:tcPr>
          <w:p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62C40"/>
                <w:sz w:val="24"/>
                <w:szCs w:val="24"/>
              </w:rPr>
              <w:t>Date</w:t>
            </w:r>
          </w:p>
        </w:tc>
      </w:tr>
      <w:tr>
        <w:tc>
          <w:tcPr>
            <w:tcW w:w="311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Version 1.0</w:t>
            </w:r>
          </w:p>
        </w:tc>
        <w:tc>
          <w:tcPr>
            <w:tcW w:w="3117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Initial Publication</w:t>
            </w:r>
          </w:p>
        </w:tc>
        <w:tc>
          <w:tcPr>
            <w:tcW w:w="3117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April 1, 2020</w:t>
            </w:r>
          </w:p>
        </w:tc>
      </w:tr>
      <w:tr>
        <w:tc>
          <w:tcPr>
            <w:tcW w:w="311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Version 2</w:t>
            </w:r>
          </w:p>
        </w:tc>
        <w:tc>
          <w:tcPr>
            <w:tcW w:w="3117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Updated</w:t>
            </w:r>
          </w:p>
        </w:tc>
        <w:tc>
          <w:tcPr>
            <w:tcW w:w="3117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November 18, 2020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color w:val="162C40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 xml:space="preserve">: April 1, 2021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Manager </w:t>
      </w:r>
      <w:r>
        <w:rPr>
          <w:rFonts w:ascii="Times New Roman" w:hAnsi="Times New Roman" w:cs="Times New Roman"/>
          <w:color w:val="162C40"/>
          <w:sz w:val="24"/>
          <w:szCs w:val="24"/>
        </w:rPr>
        <w:t>Signature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>
      <w:pPr>
        <w:spacing w:line="257" w:lineRule="auto"/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136525</wp:posOffset>
                </wp:positionV>
                <wp:extent cx="1810512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051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18554BC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.35pt,10.75pt" to="233.9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" strokecolor="#4472c4 [3204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</w:rPr>
        <w:t>Date:  April 1, 2021                              Division Director Signature: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</w:t>
      </w:r>
      <w:r>
        <w:rPr>
          <w:rFonts w:ascii="Times New Roman" w:eastAsia="Times New Roman" w:hAnsi="Times New Roman" w:cs="Times New Roman"/>
          <w:color w:val="F7CAAC" w:themeColor="accent2" w:themeTint="66"/>
          <w:sz w:val="24"/>
          <w:szCs w:val="24"/>
          <w:u w:val="single"/>
        </w:rPr>
        <w:t xml:space="preserve">                                              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 w:type="page"/>
      </w:r>
    </w:p>
    <w:p>
      <w:pPr>
        <w:rPr>
          <w:rFonts w:ascii="Times New Roman" w:hAnsi="Times New Roman" w:cs="Times New Roman"/>
          <w:sz w:val="24"/>
          <w:szCs w:val="24"/>
          <w:u w:val="single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USDA Warehouse Review Checklist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Date: 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Name: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Warehouse name: 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Is this an overflow warehouse:  If overflow written permission on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file ___</w:t>
      </w:r>
      <w:proofErr w:type="gramEnd"/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Is the facility sanitary</w:t>
      </w:r>
      <w:r>
        <w:rPr>
          <w:rFonts w:ascii="Times New Roman" w:hAnsi="Times New Roman" w:cs="Times New Roman"/>
          <w:sz w:val="24"/>
          <w:szCs w:val="24"/>
        </w:rPr>
        <w:t xml:space="preserve"> and free from rodent, bird, insect and </w:t>
      </w:r>
      <w:proofErr w:type="gramStart"/>
      <w:r>
        <w:rPr>
          <w:rFonts w:ascii="Times New Roman" w:hAnsi="Times New Roman" w:cs="Times New Roman"/>
          <w:sz w:val="24"/>
          <w:szCs w:val="24"/>
        </w:rPr>
        <w:t>other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animal infestation?  </w:t>
      </w:r>
      <w:sdt>
        <w:sdtPr>
          <w:rPr>
            <w:rFonts w:ascii="Times New Roman" w:hAnsi="Times New Roman" w:cs="Times New Roman"/>
            <w:sz w:val="24"/>
            <w:szCs w:val="24"/>
          </w:rPr>
          <w:id w:val="-18350599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Yes   </w:t>
      </w:r>
      <w:sdt>
        <w:sdtPr>
          <w:rPr>
            <w:rFonts w:ascii="Times New Roman" w:hAnsi="Times New Roman" w:cs="Times New Roman"/>
            <w:sz w:val="24"/>
            <w:szCs w:val="24"/>
          </w:rPr>
          <w:id w:val="13550763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No Comment: 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 the facility safeguarded against theft, spoilage and loss?</w:t>
      </w:r>
    </w:p>
    <w:p>
      <w:pPr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2497805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Yes  </w:t>
      </w:r>
      <w:sdt>
        <w:sdtPr>
          <w:rPr>
            <w:rFonts w:ascii="Times New Roman" w:hAnsi="Times New Roman" w:cs="Times New Roman"/>
            <w:sz w:val="24"/>
            <w:szCs w:val="24"/>
          </w:rPr>
          <w:id w:val="-7081872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No Comment: </w:t>
      </w:r>
    </w:p>
    <w:p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foods maintained at proper storage temperatures?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>
      <w:pPr>
        <w:ind w:left="1440"/>
        <w:rPr>
          <w:rFonts w:ascii="Times New Roman" w:hAnsi="Times New Roman" w:cs="Times New Roman"/>
          <w:sz w:val="24"/>
          <w:szCs w:val="24"/>
        </w:rPr>
      </w:pPr>
    </w:p>
    <w:p>
      <w:pPr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foods stocked and maintained in a manner so that USDA donated foods are readily identified?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Are donated foods off the floor in a manner that allows for adequate ventilation?  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Are chemicals and cleaning solutions stored away from commodities?  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Does the warehouse use the “first-in, first-out” stock rotation method considering the pack dates?  </w:t>
      </w:r>
    </w:p>
    <w:p>
      <w:pPr>
        <w:ind w:left="1440"/>
        <w:rPr>
          <w:rFonts w:ascii="Times New Roman" w:hAnsi="Times New Roman" w:cs="Times New Roman"/>
          <w:sz w:val="24"/>
          <w:szCs w:val="24"/>
        </w:rPr>
      </w:pPr>
    </w:p>
    <w:p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Are other necessary protective measures taken?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>
      <w:pPr>
        <w:ind w:left="1440"/>
        <w:rPr>
          <w:rFonts w:ascii="Times New Roman" w:hAnsi="Times New Roman" w:cs="Times New Roman"/>
          <w:sz w:val="24"/>
          <w:szCs w:val="24"/>
        </w:rPr>
      </w:pPr>
    </w:p>
    <w:p>
      <w:pPr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 it be easily identified the date the commodities were received into the warehouse? 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>
      <w:pPr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 there a designated area for recouping of damaged commodities?  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Are there seals on all incoming USDA shipments?  </w:t>
      </w:r>
    </w:p>
    <w:p>
      <w:pPr>
        <w:ind w:left="1440"/>
        <w:rPr>
          <w:rFonts w:ascii="Times New Roman" w:hAnsi="Times New Roman" w:cs="Times New Roman"/>
          <w:b/>
          <w:sz w:val="24"/>
          <w:szCs w:val="24"/>
        </w:rPr>
      </w:pPr>
    </w:p>
    <w:p>
      <w:pPr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the warehousemen check the temperature of frozen and cooler shipments that arrive at the warehouse?  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sectPr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quot;Courier New&quot;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1892240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Footer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pStyle w:val="Title"/>
      <w:rPr>
        <w:color w:val="162C40"/>
      </w:rPr>
    </w:pPr>
    <w:r>
      <w:rPr>
        <w:noProof/>
        <w:color w:val="162C40"/>
      </w:rPr>
      <w:drawing>
        <wp:inline distT="0" distB="0" distL="0" distR="0">
          <wp:extent cx="571500" cy="571500"/>
          <wp:effectExtent l="0" t="0" r="0" b="0"/>
          <wp:docPr id="1" name="Picture 1" descr="https://stateofmaine.sharepoint.com/sites/MaineDOE/Policy%20%20Procedures/Communication%20Policies%20and%20Procedures/Logos/informal02-72.jpg?csf=1&amp;e=d8RVTP&amp;cid=c9eefa91-491c-4c90-9e8c-d742ff7c1a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stateofmaine.sharepoint.com/sites/MaineDOE/Policy%20%20Procedures/Communication%20Policies%20and%20Procedures/Logos/informal02-72.jpg?csf=1&amp;e=d8RVTP&amp;cid=c9eefa91-491c-4c90-9e8c-d742ff7c1a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162C40"/>
      </w:rPr>
      <w:t>Maine Department of Education</w:t>
    </w:r>
    <w:r>
      <w:rPr>
        <w:color w:val="162C40"/>
      </w:rP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421F8D"/>
    <w:multiLevelType w:val="hybridMultilevel"/>
    <w:tmpl w:val="15CC8D7E"/>
    <w:lvl w:ilvl="0" w:tplc="AF9470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02C6D2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748A7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3296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3684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2629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686F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2E2B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A80C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A5979"/>
    <w:multiLevelType w:val="hybridMultilevel"/>
    <w:tmpl w:val="5C5A4AF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401472A1"/>
    <w:multiLevelType w:val="hybridMultilevel"/>
    <w:tmpl w:val="C85CFD66"/>
    <w:lvl w:ilvl="0" w:tplc="37B68C1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5118A"/>
    <w:multiLevelType w:val="hybridMultilevel"/>
    <w:tmpl w:val="27788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0408A1"/>
    <w:multiLevelType w:val="hybridMultilevel"/>
    <w:tmpl w:val="8982DBB0"/>
    <w:lvl w:ilvl="0" w:tplc="80ACD1F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600E6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769B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56A9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C808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CE10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9865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C84F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BCBF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3B150C"/>
    <w:multiLevelType w:val="hybridMultilevel"/>
    <w:tmpl w:val="37CAC8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5ED4F16"/>
    <w:multiLevelType w:val="hybridMultilevel"/>
    <w:tmpl w:val="65B44522"/>
    <w:lvl w:ilvl="0" w:tplc="B03222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A48BEE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B82608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966F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DC8E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50FF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9A54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2460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943B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84F54D28-D21E-4DCB-977F-85918C0D7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erri.fitzgerald@maine.gov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Walter.beesley@maine.gov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04C0F592CCBE4C9B99A14172A8390F" ma:contentTypeVersion="3" ma:contentTypeDescription="Create a new document." ma:contentTypeScope="" ma:versionID="7d8f106e6240c94b99d18ec1e36342d7">
  <xsd:schema xmlns:xsd="http://www.w3.org/2001/XMLSchema" xmlns:xs="http://www.w3.org/2001/XMLSchema" xmlns:p="http://schemas.microsoft.com/office/2006/metadata/properties" xmlns:ns2="e9d6317e-7e50-4b63-9db3-728270803eae" targetNamespace="http://schemas.microsoft.com/office/2006/metadata/properties" ma:root="true" ma:fieldsID="43e0ce7c6200ce4a0f981025bb4b2052" ns2:_="">
    <xsd:import namespace="e9d6317e-7e50-4b63-9db3-728270803e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6317e-7e50-4b63-9db3-728270803e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307921-7CCD-4657-B678-78A5E60D0D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d6317e-7e50-4b63-9db3-728270803e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DBF760-C7A6-4F34-8799-C8F1B2CAF7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DF5C96-D0B1-41D3-8AC7-F90FA7FCA8C3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e9d6317e-7e50-4b63-9db3-728270803eae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Piatt, Margaret L</dc:creator>
  <cp:keywords/>
  <dc:description/>
  <cp:lastModifiedBy>Beesley, Walter</cp:lastModifiedBy>
  <cp:revision>2</cp:revision>
  <dcterms:created xsi:type="dcterms:W3CDTF">2021-12-27T19:48:00Z</dcterms:created>
  <dcterms:modified xsi:type="dcterms:W3CDTF">2021-12-27T19:48:00Z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0x0101008A04C0F592CCBE4C9B99A14172A8390F</vt:lpwstr>
  </property>
</Properties>
</file>