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spacing w:after="26" w:line="216" w:lineRule="auto"/>
        <w:ind w:left="4681" w:right="1113" w:hanging="4321"/>
        <w:jc w:val="center"/>
        <w:rPr>
          <w:rFonts w:ascii="Times New Roman" w:hAnsi="Times New Roman" w:cs="Times New Roman"/>
          <w:sz w:val="24"/>
          <w:szCs w:val="24"/>
        </w:rPr>
      </w:pPr>
      <w:r>
        <w:rPr>
          <w:rFonts w:ascii="Times New Roman" w:hAnsi="Times New Roman" w:cs="Times New Roman"/>
          <w:b/>
          <w:sz w:val="24"/>
          <w:szCs w:val="24"/>
        </w:rPr>
        <w:t xml:space="preserve">          CHILD NUTRITION PROGRAM</w:t>
      </w:r>
    </w:p>
    <w:p>
      <w:pPr>
        <w:spacing w:after="0" w:line="259" w:lineRule="auto"/>
        <w:ind w:left="10" w:right="217"/>
        <w:jc w:val="center"/>
        <w:rPr>
          <w:rFonts w:ascii="Times New Roman" w:hAnsi="Times New Roman" w:cs="Times New Roman"/>
          <w:b/>
          <w:sz w:val="24"/>
          <w:szCs w:val="24"/>
        </w:rPr>
      </w:pPr>
      <w:r>
        <w:rPr>
          <w:rFonts w:ascii="Times New Roman" w:hAnsi="Times New Roman" w:cs="Times New Roman"/>
          <w:b/>
          <w:sz w:val="24"/>
          <w:szCs w:val="24"/>
        </w:rPr>
        <w:t>STATE WAIVER REQUEST</w:t>
      </w:r>
    </w:p>
    <w:p>
      <w:pPr>
        <w:spacing w:after="0" w:line="259" w:lineRule="auto"/>
        <w:ind w:left="10" w:right="217"/>
        <w:jc w:val="center"/>
        <w:rPr>
          <w:rFonts w:ascii="Times New Roman" w:hAnsi="Times New Roman" w:cs="Times New Roman"/>
          <w:b/>
          <w:sz w:val="24"/>
          <w:szCs w:val="24"/>
        </w:rPr>
      </w:pPr>
      <w:r>
        <w:rPr>
          <w:rFonts w:ascii="Times New Roman" w:hAnsi="Times New Roman" w:cs="Times New Roman"/>
          <w:b/>
          <w:sz w:val="24"/>
          <w:szCs w:val="24"/>
        </w:rPr>
        <w:t>DoD Alternate Method</w:t>
      </w:r>
    </w:p>
    <w:p>
      <w:pPr>
        <w:spacing w:after="0" w:line="259" w:lineRule="auto"/>
        <w:ind w:left="10" w:right="217"/>
        <w:jc w:val="center"/>
        <w:rPr>
          <w:rFonts w:ascii="Times New Roman" w:hAnsi="Times New Roman" w:cs="Times New Roman"/>
          <w:b/>
          <w:sz w:val="24"/>
          <w:szCs w:val="24"/>
        </w:rPr>
      </w:pPr>
      <w:r>
        <w:rPr>
          <w:rFonts w:ascii="Times New Roman" w:hAnsi="Times New Roman" w:cs="Times New Roman"/>
          <w:b/>
          <w:sz w:val="24"/>
          <w:szCs w:val="24"/>
        </w:rPr>
        <w:t>Submitted 9/28/2021</w:t>
      </w:r>
    </w:p>
    <w:p>
      <w:pPr>
        <w:spacing w:after="0" w:line="259" w:lineRule="auto"/>
        <w:ind w:right="155"/>
        <w:jc w:val="center"/>
        <w:rPr>
          <w:rFonts w:ascii="Times New Roman" w:hAnsi="Times New Roman" w:cs="Times New Roman"/>
          <w:sz w:val="24"/>
          <w:szCs w:val="24"/>
        </w:rPr>
      </w:pPr>
    </w:p>
    <w:p>
      <w:pPr>
        <w:ind w:left="370" w:right="478"/>
        <w:rPr>
          <w:rFonts w:ascii="Times New Roman" w:hAnsi="Times New Roman" w:cs="Times New Roman"/>
          <w:sz w:val="24"/>
          <w:szCs w:val="24"/>
        </w:rPr>
      </w:pPr>
      <w:r>
        <w:rPr>
          <w:rFonts w:ascii="Times New Roman" w:hAnsi="Times New Roman" w:cs="Times New Roman"/>
          <w:sz w:val="24"/>
          <w:szCs w:val="24"/>
        </w:rPr>
        <w:t xml:space="preserve">Child Nutrition Programs are expected to be administered according to all statutory and regulatory requirements; waivers to the requirements are exceptions. However, Section 12(l) of the Richard B. Russell National School Lunch Act, 42 U.S.C. 1760(l), provides authority for USDA to waive requirements for State agencies or eligible service providers under certain circumstances. When requesting the waiver of statutory or regulatory requirements for the Child Nutrition Programs (CNPs), including Child and Adult Care Food Program (CACFP), Summer Food Service Program (SFSP), National School Lunch Program (NSLP), Fresh Fruit and Vegetable Program (FFVP), Special Milk Program (SMP), and the School Breakfast Program (SBP), State agencies and eligible service providers should use this template. State agencies and eligible service providers should consult with their FNS Regional Offices when developing waiver requests to ensure a well-reasoned, thorough request is submitted. State agencies and eligible service providers are encouraged to submit complete waiver requests at least 60 calendar days prior to the anticipated implementation date. Requests submitted less than 60 calendar days prior to the anticipated implementation date should be accompanied by an explanation of extenuating circumstances. </w:t>
      </w:r>
    </w:p>
    <w:p>
      <w:pPr>
        <w:spacing w:after="0"/>
        <w:rPr>
          <w:rFonts w:ascii="Times New Roman" w:hAnsi="Times New Roman" w:cs="Times New Roman"/>
          <w:sz w:val="24"/>
          <w:szCs w:val="24"/>
        </w:rPr>
      </w:pPr>
      <w:r>
        <w:rPr>
          <w:rFonts w:ascii="Times New Roman" w:hAnsi="Times New Roman" w:cs="Times New Roman"/>
          <w:sz w:val="24"/>
          <w:szCs w:val="24"/>
        </w:rPr>
        <w:t xml:space="preserve"> </w:t>
      </w:r>
    </w:p>
    <w:p>
      <w:pPr>
        <w:ind w:left="370" w:right="741"/>
        <w:rPr>
          <w:rFonts w:ascii="Times New Roman" w:hAnsi="Times New Roman" w:cs="Times New Roman"/>
          <w:sz w:val="24"/>
          <w:szCs w:val="24"/>
        </w:rPr>
      </w:pPr>
      <w:r>
        <w:rPr>
          <w:rFonts w:ascii="Times New Roman" w:hAnsi="Times New Roman" w:cs="Times New Roman"/>
          <w:sz w:val="24"/>
          <w:szCs w:val="24"/>
        </w:rPr>
        <w:t xml:space="preserve">For more information on requests for waiving Program requirements, refer to SP 15-2018, CACFP 12-2018, SFSP 05-2018, </w:t>
      </w:r>
      <w:r>
        <w:rPr>
          <w:rFonts w:ascii="Times New Roman" w:hAnsi="Times New Roman" w:cs="Times New Roman"/>
          <w:i/>
          <w:sz w:val="24"/>
          <w:szCs w:val="24"/>
        </w:rPr>
        <w:t>Child Nutrition Program</w:t>
      </w:r>
      <w:r>
        <w:rPr>
          <w:rFonts w:ascii="Times New Roman" w:hAnsi="Times New Roman" w:cs="Times New Roman"/>
          <w:sz w:val="24"/>
          <w:szCs w:val="24"/>
        </w:rPr>
        <w:t xml:space="preserve"> </w:t>
      </w:r>
      <w:r>
        <w:rPr>
          <w:rFonts w:ascii="Times New Roman" w:hAnsi="Times New Roman" w:cs="Times New Roman"/>
          <w:i/>
          <w:sz w:val="24"/>
          <w:szCs w:val="24"/>
        </w:rPr>
        <w:t>Waiver Request Guidance and Protocol- Revised</w:t>
      </w:r>
      <w:r>
        <w:rPr>
          <w:rFonts w:ascii="Times New Roman" w:hAnsi="Times New Roman" w:cs="Times New Roman"/>
          <w:sz w:val="24"/>
          <w:szCs w:val="24"/>
        </w:rPr>
        <w:t xml:space="preserve">, May 24, 2018.  </w:t>
      </w:r>
    </w:p>
    <w:p>
      <w:pPr>
        <w:spacing w:after="0"/>
        <w:rPr>
          <w:rFonts w:ascii="Times New Roman" w:hAnsi="Times New Roman" w:cs="Times New Roman"/>
          <w:sz w:val="24"/>
          <w:szCs w:val="24"/>
        </w:rPr>
      </w:pPr>
      <w:r>
        <w:rPr>
          <w:rFonts w:ascii="Times New Roman" w:hAnsi="Times New Roman" w:cs="Times New Roman"/>
          <w:sz w:val="24"/>
          <w:szCs w:val="24"/>
        </w:rPr>
        <w:t xml:space="preserve"> </w:t>
      </w:r>
    </w:p>
    <w:p>
      <w:pPr>
        <w:numPr>
          <w:ilvl w:val="0"/>
          <w:numId w:val="11"/>
        </w:numPr>
        <w:tabs>
          <w:tab w:val="left" w:pos="540"/>
        </w:tabs>
        <w:spacing w:after="12" w:line="248" w:lineRule="auto"/>
        <w:ind w:right="550" w:hanging="360"/>
        <w:rPr>
          <w:rFonts w:ascii="Times New Roman" w:hAnsi="Times New Roman" w:cs="Times New Roman"/>
          <w:bCs/>
          <w:sz w:val="24"/>
          <w:szCs w:val="24"/>
        </w:rPr>
      </w:pPr>
      <w:r>
        <w:rPr>
          <w:rFonts w:ascii="Times New Roman" w:hAnsi="Times New Roman" w:cs="Times New Roman"/>
          <w:b/>
          <w:sz w:val="24"/>
          <w:szCs w:val="24"/>
        </w:rPr>
        <w:t xml:space="preserve">State agency submitting waiver request and responsible State agency staff contact information:    </w:t>
      </w: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Maine Department of Education</w:t>
      </w: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 xml:space="preserve">Child Nutrition </w:t>
      </w: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Walter Beesley, Director Child Nutrition</w:t>
      </w: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207-624-6875</w:t>
      </w:r>
    </w:p>
    <w:p>
      <w:pPr>
        <w:pStyle w:val="ListParagraph"/>
        <w:spacing w:after="12" w:line="248" w:lineRule="auto"/>
        <w:ind w:left="705" w:right="550"/>
        <w:rPr>
          <w:rFonts w:ascii="Times New Roman" w:hAnsi="Times New Roman" w:cs="Times New Roman"/>
          <w:sz w:val="24"/>
          <w:szCs w:val="24"/>
        </w:rPr>
      </w:pPr>
      <w:hyperlink r:id="rId11" w:history="1">
        <w:r>
          <w:rPr>
            <w:rStyle w:val="Hyperlink"/>
            <w:rFonts w:ascii="Times New Roman" w:hAnsi="Times New Roman" w:cs="Times New Roman"/>
            <w:sz w:val="24"/>
            <w:szCs w:val="24"/>
          </w:rPr>
          <w:t>Walter.beesley@maine.gov</w:t>
        </w:r>
      </w:hyperlink>
    </w:p>
    <w:p>
      <w:pPr>
        <w:spacing w:after="24" w:line="259" w:lineRule="auto"/>
        <w:ind w:left="720"/>
        <w:rPr>
          <w:rFonts w:ascii="Times New Roman" w:hAnsi="Times New Roman" w:cs="Times New Roman"/>
          <w:sz w:val="24"/>
          <w:szCs w:val="24"/>
        </w:rPr>
      </w:pPr>
    </w:p>
    <w:p>
      <w:pPr>
        <w:numPr>
          <w:ilvl w:val="0"/>
          <w:numId w:val="11"/>
        </w:numPr>
        <w:spacing w:after="12" w:line="248" w:lineRule="auto"/>
        <w:ind w:right="550" w:hanging="360"/>
        <w:rPr>
          <w:rFonts w:ascii="Times New Roman" w:hAnsi="Times New Roman" w:cs="Times New Roman"/>
          <w:sz w:val="24"/>
          <w:szCs w:val="24"/>
        </w:rPr>
      </w:pPr>
      <w:r>
        <w:rPr>
          <w:rFonts w:ascii="Times New Roman" w:hAnsi="Times New Roman" w:cs="Times New Roman"/>
          <w:b/>
          <w:sz w:val="24"/>
          <w:szCs w:val="24"/>
        </w:rPr>
        <w:t xml:space="preserve">Region: </w:t>
      </w:r>
      <w:r>
        <w:rPr>
          <w:rFonts w:ascii="Times New Roman" w:hAnsi="Times New Roman" w:cs="Times New Roman"/>
          <w:bCs/>
          <w:sz w:val="24"/>
          <w:szCs w:val="24"/>
        </w:rPr>
        <w:t>NERO</w:t>
      </w:r>
    </w:p>
    <w:p>
      <w:pPr>
        <w:spacing w:after="22" w:line="259" w:lineRule="auto"/>
        <w:ind w:left="1080" w:firstLine="60"/>
        <w:rPr>
          <w:rFonts w:ascii="Times New Roman" w:hAnsi="Times New Roman" w:cs="Times New Roman"/>
          <w:sz w:val="24"/>
          <w:szCs w:val="24"/>
        </w:rPr>
      </w:pPr>
    </w:p>
    <w:p>
      <w:pPr>
        <w:spacing w:after="12" w:line="248" w:lineRule="auto"/>
        <w:ind w:left="270" w:right="550"/>
        <w:rPr>
          <w:rFonts w:ascii="Times New Roman" w:hAnsi="Times New Roman" w:cs="Times New Roman"/>
          <w:b/>
          <w:sz w:val="24"/>
          <w:szCs w:val="24"/>
        </w:rPr>
      </w:pPr>
      <w:r>
        <w:rPr>
          <w:rFonts w:ascii="Times New Roman" w:hAnsi="Times New Roman" w:cs="Times New Roman"/>
          <w:b/>
          <w:sz w:val="24"/>
          <w:szCs w:val="24"/>
        </w:rPr>
        <w:t xml:space="preserve">3.  Eligible service providers participating in waiver and affirmation that they are </w:t>
      </w:r>
    </w:p>
    <w:p>
      <w:pPr>
        <w:spacing w:after="12" w:line="248" w:lineRule="auto"/>
        <w:ind w:left="345" w:right="550"/>
        <w:rPr>
          <w:rFonts w:ascii="Times New Roman" w:hAnsi="Times New Roman" w:cs="Times New Roman"/>
          <w:bCs/>
          <w:sz w:val="24"/>
          <w:szCs w:val="24"/>
        </w:rPr>
      </w:pPr>
      <w:r>
        <w:rPr>
          <w:rFonts w:ascii="Times New Roman" w:hAnsi="Times New Roman" w:cs="Times New Roman"/>
          <w:b/>
          <w:sz w:val="24"/>
          <w:szCs w:val="24"/>
        </w:rPr>
        <w:t xml:space="preserve">     in good standing: </w:t>
      </w:r>
      <w:r>
        <w:rPr>
          <w:rFonts w:ascii="Times New Roman" w:hAnsi="Times New Roman" w:cs="Times New Roman"/>
          <w:bCs/>
          <w:sz w:val="24"/>
          <w:szCs w:val="24"/>
        </w:rPr>
        <w:t xml:space="preserve">This would be for SFAs in good standing participating in </w:t>
      </w:r>
    </w:p>
    <w:p>
      <w:pPr>
        <w:spacing w:after="12" w:line="248" w:lineRule="auto"/>
        <w:ind w:left="345" w:right="55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the NSLP, SFSP</w:t>
      </w:r>
    </w:p>
    <w:p>
      <w:pPr>
        <w:pStyle w:val="ListParagraph"/>
        <w:spacing w:after="0"/>
        <w:ind w:left="0"/>
        <w:rPr>
          <w:rFonts w:ascii="Times New Roman" w:hAnsi="Times New Roman" w:cs="Times New Roman"/>
          <w:b/>
          <w:sz w:val="24"/>
          <w:szCs w:val="24"/>
        </w:rPr>
      </w:pPr>
    </w:p>
    <w:p>
      <w:pPr>
        <w:spacing w:after="12" w:line="248" w:lineRule="auto"/>
        <w:ind w:left="345" w:right="550"/>
        <w:rPr>
          <w:rFonts w:ascii="Times New Roman" w:hAnsi="Times New Roman" w:cs="Times New Roman"/>
          <w:b/>
          <w:sz w:val="24"/>
          <w:szCs w:val="24"/>
        </w:rPr>
      </w:pPr>
      <w:r>
        <w:rPr>
          <w:rFonts w:ascii="Times New Roman" w:hAnsi="Times New Roman" w:cs="Times New Roman"/>
          <w:b/>
          <w:sz w:val="24"/>
          <w:szCs w:val="24"/>
        </w:rPr>
        <w:t xml:space="preserve">4.  Description of the challenge the State agency is seeking to solve, the goal of </w:t>
      </w:r>
    </w:p>
    <w:p>
      <w:pPr>
        <w:spacing w:after="12" w:line="248" w:lineRule="auto"/>
        <w:ind w:left="345" w:right="550"/>
        <w:rPr>
          <w:rFonts w:ascii="Times New Roman" w:hAnsi="Times New Roman" w:cs="Times New Roman"/>
          <w:b/>
          <w:sz w:val="24"/>
          <w:szCs w:val="24"/>
        </w:rPr>
      </w:pPr>
      <w:r>
        <w:rPr>
          <w:rFonts w:ascii="Times New Roman" w:hAnsi="Times New Roman" w:cs="Times New Roman"/>
          <w:b/>
          <w:sz w:val="24"/>
          <w:szCs w:val="24"/>
        </w:rPr>
        <w:t xml:space="preserve">     the waiver to improve services under the Program, and the expected outcomes </w:t>
      </w:r>
    </w:p>
    <w:p>
      <w:pPr>
        <w:spacing w:after="12" w:line="248" w:lineRule="auto"/>
        <w:ind w:left="345" w:right="550"/>
        <w:rPr>
          <w:rFonts w:ascii="Times New Roman" w:hAnsi="Times New Roman" w:cs="Times New Roman"/>
          <w:b/>
          <w:sz w:val="24"/>
          <w:szCs w:val="24"/>
        </w:rPr>
      </w:pPr>
      <w:r>
        <w:rPr>
          <w:rFonts w:ascii="Times New Roman" w:hAnsi="Times New Roman" w:cs="Times New Roman"/>
          <w:b/>
          <w:sz w:val="24"/>
          <w:szCs w:val="24"/>
        </w:rPr>
        <w:t xml:space="preserve">     if the waiver is granted. [Section 12(l)(2)(A)(iii) and 12(l)(2)(A)(iv) of the </w:t>
      </w:r>
    </w:p>
    <w:p>
      <w:pPr>
        <w:spacing w:after="12" w:line="248" w:lineRule="auto"/>
        <w:ind w:left="345" w:right="550"/>
        <w:rPr>
          <w:rFonts w:ascii="Times New Roman" w:hAnsi="Times New Roman" w:cs="Times New Roman"/>
          <w:sz w:val="24"/>
          <w:szCs w:val="24"/>
        </w:rPr>
      </w:pPr>
      <w:r>
        <w:rPr>
          <w:rFonts w:ascii="Times New Roman" w:hAnsi="Times New Roman" w:cs="Times New Roman"/>
          <w:b/>
          <w:sz w:val="24"/>
          <w:szCs w:val="24"/>
        </w:rPr>
        <w:t xml:space="preserve">     NSLA]:  </w:t>
      </w:r>
      <w:r>
        <w:rPr>
          <w:rFonts w:ascii="Times New Roman" w:hAnsi="Times New Roman" w:cs="Times New Roman"/>
          <w:sz w:val="24"/>
          <w:szCs w:val="24"/>
        </w:rPr>
        <w:t xml:space="preserve">Maine Child Nutrition manages the USDA Food program for NSLP, </w:t>
      </w:r>
    </w:p>
    <w:p>
      <w:pPr>
        <w:spacing w:after="12" w:line="248" w:lineRule="auto"/>
        <w:ind w:left="345" w:right="55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CACFP and SFSP.  We have and still use the DOD program for some</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produce purchasing.  The contract for Maine was awarded to a Hartford </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Provisions Company, HPC in Hartford, CT.  Delivery was sub-contracted to Native</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Maine due to logistics and commercial trucking laws.  Local schools in Maine want </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to use DOD but find it difficult and sometimes as much as 3 times higher in price for </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the same identical product from the same farm. School districts cannot follow </w:t>
      </w:r>
    </w:p>
    <w:p>
      <w:pPr>
        <w:spacing w:after="12" w:line="248" w:lineRule="auto"/>
        <w:ind w:left="345" w:right="550"/>
        <w:rPr>
          <w:rFonts w:ascii="Times New Roman" w:hAnsi="Times New Roman" w:cs="Times New Roman"/>
          <w:sz w:val="24"/>
          <w:szCs w:val="24"/>
        </w:rPr>
      </w:pPr>
      <w:r>
        <w:rPr>
          <w:rFonts w:ascii="Times New Roman" w:hAnsi="Times New Roman" w:cs="Times New Roman"/>
          <w:sz w:val="24"/>
          <w:szCs w:val="24"/>
        </w:rPr>
        <w:t xml:space="preserve">     the procurement CFR 2 regulations and use DOD. </w:t>
      </w:r>
    </w:p>
    <w:p>
      <w:pPr>
        <w:spacing w:after="12" w:line="248" w:lineRule="auto"/>
        <w:ind w:left="705" w:right="550"/>
        <w:rPr>
          <w:rFonts w:ascii="Times New Roman" w:hAnsi="Times New Roman" w:cs="Times New Roman"/>
          <w:sz w:val="24"/>
          <w:szCs w:val="24"/>
        </w:rPr>
      </w:pP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The DOD products are ordered via FFAVORS which has its challenges, but locals have overcome that issue.  Hartford Provisions cannot afford to send a truck to Northern Maine monthly, never mind weekly or daily.  Transportation laws require overnight stays or two drivers because of the driving time.  It is an 8-hour drive in a car from Hartford to Fort Kent, Maine.  Therefore, HPC sub-contracted with Native Maine out of Westbrook Maine to deliver to Maine schools.  There are challenges with the process of ordering from HPC and having delivery through Native Maine.  Then with all the procurement training and review requirements, we discover DOD products are more expensive sometimes as much as 63% (watermelon).</w:t>
      </w:r>
      <w:r>
        <w:rPr>
          <w:rFonts w:ascii="Times New Roman" w:hAnsi="Times New Roman" w:cs="Times New Roman"/>
          <w:color w:val="FF0000"/>
          <w:sz w:val="24"/>
          <w:szCs w:val="24"/>
        </w:rPr>
        <w:t xml:space="preserve">  </w:t>
      </w:r>
      <w:r>
        <w:rPr>
          <w:rFonts w:ascii="Times New Roman" w:hAnsi="Times New Roman" w:cs="Times New Roman"/>
          <w:sz w:val="24"/>
          <w:szCs w:val="24"/>
        </w:rPr>
        <w:t>This is for the same product, brand name quantity coming out of the same box and off the same truck.</w:t>
      </w:r>
      <w:r>
        <w:rPr>
          <w:rFonts w:ascii="Times New Roman" w:hAnsi="Times New Roman" w:cs="Times New Roman"/>
          <w:b/>
          <w:sz w:val="24"/>
          <w:szCs w:val="24"/>
        </w:rPr>
        <w:t xml:space="preserve"> </w:t>
      </w:r>
      <w:r>
        <w:rPr>
          <w:rFonts w:ascii="Times New Roman" w:hAnsi="Times New Roman" w:cs="Times New Roman"/>
          <w:sz w:val="24"/>
          <w:szCs w:val="24"/>
        </w:rPr>
        <w:t>See chart below for September 2021.</w:t>
      </w:r>
    </w:p>
    <w:p>
      <w:pPr>
        <w:spacing w:after="12" w:line="248" w:lineRule="auto"/>
        <w:ind w:left="705" w:right="550"/>
        <w:rPr>
          <w:rFonts w:ascii="Times New Roman" w:hAnsi="Times New Roman" w:cs="Times New Roman"/>
          <w:sz w:val="24"/>
          <w:szCs w:val="24"/>
        </w:rPr>
      </w:pPr>
    </w:p>
    <w:p>
      <w:pPr>
        <w:spacing w:after="12" w:line="248" w:lineRule="auto"/>
        <w:ind w:right="550"/>
        <w:rPr>
          <w:rFonts w:ascii="Times New Roman" w:hAnsi="Times New Roman" w:cs="Times New Roman"/>
          <w:b/>
          <w:sz w:val="24"/>
          <w:szCs w:val="24"/>
        </w:rPr>
      </w:pPr>
      <w:r>
        <w:rPr>
          <w:rFonts w:ascii="Times New Roman" w:hAnsi="Times New Roman" w:cs="Times New Roman"/>
          <w:b/>
          <w:sz w:val="24"/>
          <w:szCs w:val="24"/>
        </w:rPr>
        <w:t xml:space="preserve">        5.  Specific Program requirements to be waived (include statutory and</w:t>
      </w:r>
    </w:p>
    <w:p>
      <w:pPr>
        <w:spacing w:after="12" w:line="248" w:lineRule="auto"/>
        <w:ind w:right="550"/>
        <w:rPr>
          <w:rFonts w:ascii="Times New Roman" w:hAnsi="Times New Roman" w:cs="Times New Roman"/>
          <w:sz w:val="24"/>
          <w:szCs w:val="24"/>
        </w:rPr>
      </w:pPr>
      <w:r>
        <w:rPr>
          <w:rFonts w:ascii="Times New Roman" w:hAnsi="Times New Roman" w:cs="Times New Roman"/>
          <w:b/>
          <w:sz w:val="24"/>
          <w:szCs w:val="24"/>
        </w:rPr>
        <w:t xml:space="preserve">             regulatory citations). [Section 12(l)(2)(A)(</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of the NSLA]: </w:t>
      </w:r>
      <w:r>
        <w:rPr>
          <w:rFonts w:ascii="Times New Roman" w:hAnsi="Times New Roman" w:cs="Times New Roman"/>
          <w:sz w:val="24"/>
          <w:szCs w:val="24"/>
        </w:rPr>
        <w:t xml:space="preserve"> Maine supports</w:t>
      </w:r>
    </w:p>
    <w:p>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 xml:space="preserve">             the USDA Food program and its purpose. In support of Federal Procurement</w:t>
      </w:r>
    </w:p>
    <w:p>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 xml:space="preserve">             regulations, good fiscal money management, and support for our farmers, </w:t>
      </w:r>
    </w:p>
    <w:p>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 xml:space="preserve">             a change is needed. Maine has looked at two options: </w:t>
      </w:r>
    </w:p>
    <w:p>
      <w:pPr>
        <w:pStyle w:val="ListParagraph"/>
        <w:numPr>
          <w:ilvl w:val="1"/>
          <w:numId w:val="12"/>
        </w:numPr>
        <w:spacing w:after="12" w:line="248" w:lineRule="auto"/>
        <w:ind w:right="550"/>
        <w:rPr>
          <w:rFonts w:ascii="Times New Roman" w:hAnsi="Times New Roman" w:cs="Times New Roman"/>
          <w:sz w:val="24"/>
          <w:szCs w:val="24"/>
        </w:rPr>
      </w:pPr>
      <w:r>
        <w:rPr>
          <w:rFonts w:ascii="Times New Roman" w:hAnsi="Times New Roman" w:cs="Times New Roman"/>
          <w:sz w:val="24"/>
          <w:szCs w:val="24"/>
        </w:rPr>
        <w:t xml:space="preserve">The well-known Cash in Lieu of Commodities, CLOC (Federal regulation 7 CFR 240) such as CACFP or a reimbursement type program, where the monthly claim pays the USDA rate times number of meals.  This would be our first choice but realizing the USDA position on CLOC, Maine wrote the waiver on option b.  </w:t>
      </w:r>
      <w:r>
        <w:rPr>
          <w:rFonts w:ascii="Times New Roman" w:hAnsi="Times New Roman" w:cs="Times New Roman"/>
          <w:color w:val="333333"/>
          <w:sz w:val="24"/>
          <w:szCs w:val="24"/>
          <w:lang w:val="en"/>
        </w:rPr>
        <w:t xml:space="preserve">§ 250.56 (e) </w:t>
      </w:r>
      <w:r>
        <w:rPr>
          <w:rFonts w:ascii="Times New Roman" w:hAnsi="Times New Roman" w:cs="Times New Roman"/>
          <w:i/>
          <w:iCs/>
          <w:color w:val="333333"/>
          <w:sz w:val="24"/>
          <w:szCs w:val="24"/>
          <w:lang w:val="en"/>
        </w:rPr>
        <w:t>Cash in lieu of donated foods.</w:t>
      </w:r>
      <w:r>
        <w:rPr>
          <w:rFonts w:ascii="Times New Roman" w:hAnsi="Times New Roman" w:cs="Times New Roman"/>
          <w:color w:val="333333"/>
          <w:sz w:val="24"/>
          <w:szCs w:val="24"/>
          <w:lang w:val="en"/>
        </w:rPr>
        <w:t xml:space="preserve"> States that phased out their food distribution facilities prior to July 1, 1974, are permitted to choose to receive cash in lieu of the donated foods to which they would be entitled in NSLP, in accordance with the Richard B. Russell National School Lunch Act (42 U.S.C. 1765) and with 7 CFR part 240</w:t>
      </w:r>
    </w:p>
    <w:p>
      <w:pPr>
        <w:pStyle w:val="ListParagraph"/>
        <w:numPr>
          <w:ilvl w:val="1"/>
          <w:numId w:val="12"/>
        </w:numPr>
        <w:spacing w:after="12" w:line="248" w:lineRule="auto"/>
        <w:ind w:right="550"/>
        <w:rPr>
          <w:rFonts w:ascii="Times New Roman" w:hAnsi="Times New Roman" w:cs="Times New Roman"/>
          <w:sz w:val="24"/>
          <w:szCs w:val="24"/>
        </w:rPr>
        <w:sectPr>
          <w:headerReference w:type="even" r:id="rId12"/>
          <w:headerReference w:type="default" r:id="rId13"/>
          <w:footerReference w:type="even" r:id="rId14"/>
          <w:footerReference w:type="default" r:id="rId15"/>
          <w:pgSz w:w="12240" w:h="15840"/>
          <w:pgMar w:top="1440" w:right="1440" w:bottom="1440" w:left="1440" w:header="720" w:footer="720" w:gutter="0"/>
          <w:cols w:space="720"/>
          <w:docGrid w:linePitch="360"/>
        </w:sectPr>
      </w:pPr>
    </w:p>
    <w:p>
      <w:pPr>
        <w:pStyle w:val="ListParagraph"/>
        <w:numPr>
          <w:ilvl w:val="1"/>
          <w:numId w:val="12"/>
        </w:numPr>
        <w:spacing w:after="12" w:line="248" w:lineRule="auto"/>
        <w:ind w:right="550"/>
        <w:rPr>
          <w:rFonts w:ascii="Times New Roman" w:hAnsi="Times New Roman" w:cs="Times New Roman"/>
          <w:sz w:val="24"/>
          <w:szCs w:val="24"/>
        </w:rPr>
      </w:pPr>
      <w:r>
        <w:rPr>
          <w:rFonts w:ascii="Times New Roman" w:hAnsi="Times New Roman" w:cs="Times New Roman"/>
          <w:sz w:val="24"/>
          <w:szCs w:val="24"/>
        </w:rPr>
        <w:lastRenderedPageBreak/>
        <w:t xml:space="preserve">In interest of our great farmers nationwide in Maine, Maine is asking that the money normally diverted to DOD would be transferred to the State agency to a fund to be used for reimbursement of fresh produce purchases.  The State agency would accept monthly local claims for reimbursement from districts.  Maine would reimburse them up to the amount that was set aside for the hybrid DOD amount.  Maine DOE/Child Nutrition would maintain an account for the funds, following all accounting Federal and State laws. </w:t>
      </w:r>
    </w:p>
    <w:p>
      <w:pPr>
        <w:spacing w:after="12" w:line="248" w:lineRule="auto"/>
        <w:ind w:left="705" w:right="550"/>
        <w:rPr>
          <w:rFonts w:ascii="Times New Roman" w:hAnsi="Times New Roman" w:cs="Times New Roman"/>
          <w:sz w:val="24"/>
          <w:szCs w:val="24"/>
        </w:rPr>
      </w:pPr>
    </w:p>
    <w:p>
      <w:pPr>
        <w:pStyle w:val="ListParagraph"/>
        <w:spacing w:after="12" w:line="248" w:lineRule="auto"/>
        <w:ind w:left="705" w:right="550"/>
        <w:rPr>
          <w:rFonts w:ascii="Times New Roman" w:hAnsi="Times New Roman" w:cs="Times New Roman"/>
          <w:color w:val="333333"/>
          <w:sz w:val="24"/>
          <w:szCs w:val="24"/>
          <w:lang w:val="en"/>
        </w:rPr>
      </w:pPr>
      <w:r>
        <w:rPr>
          <w:rFonts w:ascii="Times New Roman" w:hAnsi="Times New Roman" w:cs="Times New Roman"/>
          <w:sz w:val="24"/>
          <w:szCs w:val="24"/>
        </w:rPr>
        <w:t xml:space="preserve">Regulation Maine would like to further strengthen </w:t>
      </w:r>
      <w:r>
        <w:rPr>
          <w:rFonts w:ascii="Times New Roman" w:hAnsi="Times New Roman" w:cs="Times New Roman"/>
          <w:color w:val="333333"/>
          <w:sz w:val="24"/>
          <w:szCs w:val="24"/>
          <w:lang w:val="en"/>
        </w:rPr>
        <w:t xml:space="preserve">§ 250.13 Efficient and cost-effective distribution of donated foods. </w:t>
      </w:r>
    </w:p>
    <w:p>
      <w:pPr>
        <w:pStyle w:val="ListParagraph"/>
        <w:spacing w:after="12" w:line="248" w:lineRule="auto"/>
        <w:ind w:left="705" w:right="550"/>
        <w:rPr>
          <w:rFonts w:ascii="Times New Roman" w:hAnsi="Times New Roman" w:cs="Times New Roman"/>
          <w:color w:val="333333"/>
          <w:sz w:val="24"/>
          <w:szCs w:val="24"/>
          <w:lang w:val="en"/>
        </w:rPr>
      </w:pP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Regulations that will require the waiver 7 CFR 250</w:t>
      </w:r>
    </w:p>
    <w:p>
      <w:pPr>
        <w:pStyle w:val="ListParagraph"/>
        <w:spacing w:after="12" w:line="248" w:lineRule="auto"/>
        <w:ind w:left="705" w:right="550"/>
        <w:rPr>
          <w:rFonts w:ascii="Times New Roman" w:hAnsi="Times New Roman" w:cs="Times New Roman"/>
          <w:color w:val="333333"/>
          <w:sz w:val="24"/>
          <w:szCs w:val="24"/>
          <w:lang w:val="en"/>
        </w:rPr>
      </w:pPr>
    </w:p>
    <w:p>
      <w:pPr>
        <w:pStyle w:val="ListParagraph"/>
        <w:spacing w:after="12" w:line="248" w:lineRule="auto"/>
        <w:ind w:left="705" w:right="550"/>
        <w:rPr>
          <w:rFonts w:ascii="Times New Roman" w:hAnsi="Times New Roman" w:cs="Times New Roman"/>
          <w:color w:val="333333"/>
          <w:sz w:val="24"/>
          <w:szCs w:val="24"/>
          <w:lang w:val="en"/>
        </w:rPr>
      </w:pPr>
      <w:r>
        <w:rPr>
          <w:rFonts w:ascii="Times New Roman" w:hAnsi="Times New Roman" w:cs="Times New Roman"/>
          <w:color w:val="333333"/>
          <w:sz w:val="24"/>
          <w:szCs w:val="24"/>
          <w:lang w:val="en"/>
        </w:rPr>
        <w:t>§ 250.56 Provision of donated foods in NSLP</w:t>
      </w:r>
    </w:p>
    <w:p>
      <w:pPr>
        <w:pStyle w:val="ListParagraph"/>
        <w:spacing w:after="12" w:line="248" w:lineRule="auto"/>
        <w:ind w:left="705" w:right="550"/>
        <w:rPr>
          <w:rFonts w:ascii="Times New Roman" w:hAnsi="Times New Roman" w:cs="Times New Roman"/>
          <w:sz w:val="24"/>
          <w:szCs w:val="24"/>
        </w:rPr>
      </w:pPr>
    </w:p>
    <w:p>
      <w:pPr>
        <w:spacing w:after="12" w:line="248" w:lineRule="auto"/>
        <w:ind w:left="540" w:right="550"/>
        <w:rPr>
          <w:rFonts w:ascii="Times New Roman" w:hAnsi="Times New Roman" w:cs="Times New Roman"/>
          <w:b/>
          <w:sz w:val="24"/>
          <w:szCs w:val="24"/>
        </w:rPr>
      </w:pPr>
      <w:r>
        <w:rPr>
          <w:rFonts w:ascii="Times New Roman" w:hAnsi="Times New Roman" w:cs="Times New Roman"/>
          <w:b/>
          <w:sz w:val="24"/>
          <w:szCs w:val="24"/>
        </w:rPr>
        <w:t xml:space="preserve">6.  Detailed description of alternative procedures and anticipated impact </w:t>
      </w:r>
    </w:p>
    <w:p>
      <w:pPr>
        <w:spacing w:after="12" w:line="248" w:lineRule="auto"/>
        <w:ind w:left="705" w:right="550"/>
        <w:rPr>
          <w:rFonts w:ascii="Times New Roman" w:hAnsi="Times New Roman" w:cs="Times New Roman"/>
          <w:sz w:val="24"/>
          <w:szCs w:val="24"/>
        </w:rPr>
      </w:pPr>
      <w:r>
        <w:rPr>
          <w:rFonts w:ascii="Times New Roman" w:hAnsi="Times New Roman" w:cs="Times New Roman"/>
          <w:b/>
          <w:sz w:val="24"/>
          <w:szCs w:val="24"/>
        </w:rPr>
        <w:t xml:space="preserve">    on Program operations, including technology, State systems, and monitoring:   </w:t>
      </w:r>
    </w:p>
    <w:p>
      <w:pPr>
        <w:pStyle w:val="ListParagraph"/>
        <w:spacing w:after="12" w:line="248" w:lineRule="auto"/>
        <w:ind w:left="705" w:right="550"/>
        <w:rPr>
          <w:rFonts w:ascii="Times New Roman" w:hAnsi="Times New Roman" w:cs="Times New Roman"/>
          <w:sz w:val="24"/>
          <w:szCs w:val="24"/>
        </w:rPr>
      </w:pP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The procedure we are considering would be:</w:t>
      </w:r>
    </w:p>
    <w:tbl>
      <w:tblPr>
        <w:tblStyle w:val="TableGrid"/>
        <w:tblpPr w:leftFromText="180" w:rightFromText="180" w:vertAnchor="text" w:horzAnchor="page" w:tblpX="1498" w:tblpY="95"/>
        <w:tblW w:w="8910" w:type="dxa"/>
        <w:tblLayout w:type="fixed"/>
        <w:tblLook w:val="04A0" w:firstRow="1" w:lastRow="0" w:firstColumn="1" w:lastColumn="0" w:noHBand="0" w:noVBand="1"/>
      </w:tblPr>
      <w:tblGrid>
        <w:gridCol w:w="3775"/>
        <w:gridCol w:w="2705"/>
        <w:gridCol w:w="2430"/>
      </w:tblGrid>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Steps:</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 xml:space="preserve">Responsible Party </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New or existing</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SFA would</w:t>
            </w:r>
          </w:p>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indicate on annual survey/order the amount of dollars to divert to DOD</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SFA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Maine would submit amount requested by districts to USDA</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 WBSCM</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Maine creates account for districts of dollar amount requested</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New</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SFA would order product from local vendor or distributor of their choice</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SFA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SFA submits bill for reimbursement monthly</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SFA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New</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 approves reimbursement request</w:t>
            </w:r>
          </w:p>
        </w:tc>
        <w:tc>
          <w:tcPr>
            <w:tcW w:w="2705" w:type="dxa"/>
          </w:tcPr>
          <w:p>
            <w:pPr>
              <w:pStyle w:val="ListParagraph"/>
              <w:spacing w:after="12" w:line="248" w:lineRule="auto"/>
              <w:ind w:left="705" w:right="550"/>
              <w:rPr>
                <w:rFonts w:ascii="Times New Roman" w:hAnsi="Times New Roman" w:cs="Times New Roman"/>
                <w:sz w:val="24"/>
                <w:szCs w:val="24"/>
              </w:rPr>
            </w:pP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 xml:space="preserve">SA draws money down from USDA </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lastRenderedPageBreak/>
              <w:t>SA pays local district using Maine’s payment system</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 xml:space="preserve">SA monitors the SFA account, so it does not exceed the requested amount. </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New</w:t>
            </w:r>
          </w:p>
        </w:tc>
      </w:tr>
      <w:tr>
        <w:tc>
          <w:tcPr>
            <w:tcW w:w="377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 xml:space="preserve">SA will include monitoring with the Administrative reviews. </w:t>
            </w:r>
          </w:p>
        </w:tc>
        <w:tc>
          <w:tcPr>
            <w:tcW w:w="2705"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SA</w:t>
            </w:r>
          </w:p>
        </w:tc>
        <w:tc>
          <w:tcPr>
            <w:tcW w:w="2430" w:type="dxa"/>
          </w:tcPr>
          <w:p>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Existing</w:t>
            </w:r>
          </w:p>
        </w:tc>
      </w:tr>
    </w:tbl>
    <w:p>
      <w:pPr>
        <w:pStyle w:val="ListParagraph"/>
        <w:spacing w:after="12" w:line="248" w:lineRule="auto"/>
        <w:ind w:left="705" w:right="550"/>
        <w:rPr>
          <w:rFonts w:ascii="Times New Roman" w:hAnsi="Times New Roman" w:cs="Times New Roman"/>
          <w:sz w:val="24"/>
          <w:szCs w:val="24"/>
        </w:rPr>
      </w:pPr>
    </w:p>
    <w:p>
      <w:pPr>
        <w:pStyle w:val="ListParagraph"/>
        <w:spacing w:after="333" w:line="259" w:lineRule="auto"/>
        <w:ind w:left="705"/>
        <w:rPr>
          <w:rFonts w:ascii="Times New Roman" w:hAnsi="Times New Roman" w:cs="Times New Roman"/>
          <w:b/>
          <w:sz w:val="24"/>
          <w:szCs w:val="24"/>
        </w:rPr>
      </w:pPr>
      <w:r>
        <w:rPr>
          <w:rFonts w:ascii="Times New Roman" w:hAnsi="Times New Roman" w:cs="Times New Roman"/>
          <w:sz w:val="24"/>
          <w:szCs w:val="24"/>
        </w:rPr>
        <w:t xml:space="preserve">Maine realizes current regulation places severe limitations of this procedure. </w:t>
      </w:r>
    </w:p>
    <w:p>
      <w:pPr>
        <w:spacing w:after="12" w:line="247" w:lineRule="auto"/>
        <w:ind w:left="360" w:right="547" w:firstLine="90"/>
        <w:rPr>
          <w:rFonts w:ascii="Times New Roman" w:hAnsi="Times New Roman" w:cs="Times New Roman"/>
          <w:b/>
          <w:sz w:val="24"/>
          <w:szCs w:val="24"/>
        </w:rPr>
      </w:pPr>
      <w:r>
        <w:rPr>
          <w:rFonts w:ascii="Times New Roman" w:hAnsi="Times New Roman" w:cs="Times New Roman"/>
          <w:b/>
          <w:sz w:val="24"/>
          <w:szCs w:val="24"/>
        </w:rPr>
        <w:t>7.  Description of any steps the State has taken to address regulatory barriers</w:t>
      </w:r>
    </w:p>
    <w:p>
      <w:pPr>
        <w:spacing w:after="12" w:line="247" w:lineRule="auto"/>
        <w:ind w:left="706" w:right="547"/>
        <w:rPr>
          <w:rFonts w:ascii="Times New Roman" w:hAnsi="Times New Roman" w:cs="Times New Roman"/>
          <w:sz w:val="24"/>
          <w:szCs w:val="24"/>
        </w:rPr>
      </w:pPr>
      <w:r>
        <w:rPr>
          <w:rFonts w:ascii="Times New Roman" w:hAnsi="Times New Roman" w:cs="Times New Roman"/>
          <w:b/>
          <w:sz w:val="24"/>
          <w:szCs w:val="24"/>
        </w:rPr>
        <w:t xml:space="preserve">    at the State level. [Section 12(l)(2)(A)(ii) of the NSLA]: </w:t>
      </w:r>
      <w:r>
        <w:rPr>
          <w:rFonts w:ascii="Times New Roman" w:hAnsi="Times New Roman" w:cs="Times New Roman"/>
          <w:sz w:val="24"/>
          <w:szCs w:val="24"/>
        </w:rPr>
        <w:t xml:space="preserve">Maine has </w:t>
      </w:r>
    </w:p>
    <w:p>
      <w:pPr>
        <w:spacing w:after="12" w:line="247" w:lineRule="auto"/>
        <w:ind w:left="990" w:right="547" w:hanging="284"/>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contacted USDA and DOD about the price difference.  We submitted</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documentation the prior school year and have heard nothing back.  </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We again notify our NERO office of the price difference so they could share </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that information.  Maine also realizes this is a method for SFAs to utilize</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their entitlement. </w:t>
      </w:r>
    </w:p>
    <w:p>
      <w:pPr>
        <w:spacing w:after="12" w:line="248" w:lineRule="auto"/>
        <w:ind w:left="705" w:right="550"/>
        <w:rPr>
          <w:rFonts w:ascii="Times New Roman" w:hAnsi="Times New Roman" w:cs="Times New Roman"/>
          <w:sz w:val="24"/>
          <w:szCs w:val="24"/>
        </w:rPr>
      </w:pPr>
    </w:p>
    <w:p>
      <w:pPr>
        <w:spacing w:after="12" w:line="247" w:lineRule="auto"/>
        <w:ind w:left="360" w:right="547"/>
        <w:rPr>
          <w:rFonts w:ascii="Times New Roman" w:hAnsi="Times New Roman" w:cs="Times New Roman"/>
          <w:b/>
          <w:sz w:val="24"/>
          <w:szCs w:val="24"/>
        </w:rPr>
      </w:pPr>
      <w:r>
        <w:rPr>
          <w:rFonts w:ascii="Times New Roman" w:hAnsi="Times New Roman" w:cs="Times New Roman"/>
          <w:b/>
          <w:sz w:val="24"/>
          <w:szCs w:val="24"/>
        </w:rPr>
        <w:t xml:space="preserve">  8.   Anticipated challenges State or eligible service providers may face with</w:t>
      </w:r>
    </w:p>
    <w:p>
      <w:pPr>
        <w:spacing w:after="12" w:line="247" w:lineRule="auto"/>
        <w:ind w:left="706" w:right="547"/>
        <w:rPr>
          <w:rFonts w:ascii="Times New Roman" w:hAnsi="Times New Roman" w:cs="Times New Roman"/>
          <w:sz w:val="24"/>
          <w:szCs w:val="24"/>
        </w:rPr>
      </w:pPr>
      <w:r>
        <w:rPr>
          <w:rFonts w:ascii="Times New Roman" w:hAnsi="Times New Roman" w:cs="Times New Roman"/>
          <w:b/>
          <w:sz w:val="24"/>
          <w:szCs w:val="24"/>
        </w:rPr>
        <w:t xml:space="preserve">    the waiver implementation: </w:t>
      </w:r>
      <w:r>
        <w:rPr>
          <w:rFonts w:ascii="Times New Roman" w:hAnsi="Times New Roman" w:cs="Times New Roman"/>
          <w:sz w:val="24"/>
          <w:szCs w:val="24"/>
        </w:rPr>
        <w:t>Training local staff will be first but not a</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major barrier considering this is very similar to what we do now with the </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Maine Foods fund created by Maine law.  The district would have to pay and</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then submit for reimbursement for the products.  Procedures will need to</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be created and formalized for consistent regulatory compliance.  Purchase</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would be limited to fresh produce and could be purchased from </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producers, produce distributor or broad line distributors much like the </w:t>
      </w:r>
    </w:p>
    <w:p>
      <w:pPr>
        <w:spacing w:after="12" w:line="247" w:lineRule="auto"/>
        <w:ind w:left="706" w:right="547"/>
        <w:rPr>
          <w:rFonts w:ascii="Times New Roman" w:hAnsi="Times New Roman" w:cs="Times New Roman"/>
          <w:sz w:val="24"/>
          <w:szCs w:val="24"/>
        </w:rPr>
      </w:pPr>
      <w:r>
        <w:rPr>
          <w:rFonts w:ascii="Times New Roman" w:hAnsi="Times New Roman" w:cs="Times New Roman"/>
          <w:sz w:val="24"/>
          <w:szCs w:val="24"/>
        </w:rPr>
        <w:t xml:space="preserve">     current HPC catalog.  </w:t>
      </w:r>
    </w:p>
    <w:p>
      <w:pPr>
        <w:pStyle w:val="ListParagraph"/>
        <w:spacing w:after="12" w:line="247" w:lineRule="auto"/>
        <w:ind w:left="706" w:right="547"/>
        <w:rPr>
          <w:rFonts w:ascii="Times New Roman" w:hAnsi="Times New Roman" w:cs="Times New Roman"/>
          <w:b/>
          <w:sz w:val="24"/>
          <w:szCs w:val="24"/>
        </w:rPr>
      </w:pPr>
    </w:p>
    <w:p>
      <w:pPr>
        <w:spacing w:after="12" w:line="248" w:lineRule="auto"/>
        <w:ind w:left="540" w:right="550"/>
        <w:rPr>
          <w:rFonts w:ascii="Times New Roman" w:hAnsi="Times New Roman" w:cs="Times New Roman"/>
          <w:b/>
          <w:sz w:val="24"/>
          <w:szCs w:val="24"/>
        </w:rPr>
      </w:pPr>
      <w:r>
        <w:rPr>
          <w:rFonts w:ascii="Times New Roman" w:hAnsi="Times New Roman" w:cs="Times New Roman"/>
          <w:b/>
          <w:sz w:val="24"/>
          <w:szCs w:val="24"/>
        </w:rPr>
        <w:t xml:space="preserve">9.    Description of how the waiver will not increase the overall cost of the </w:t>
      </w:r>
    </w:p>
    <w:p>
      <w:pPr>
        <w:spacing w:after="12" w:line="248" w:lineRule="auto"/>
        <w:ind w:left="450" w:right="550"/>
        <w:rPr>
          <w:rFonts w:ascii="Times New Roman" w:hAnsi="Times New Roman" w:cs="Times New Roman"/>
          <w:b/>
          <w:sz w:val="24"/>
          <w:szCs w:val="24"/>
        </w:rPr>
      </w:pPr>
      <w:r>
        <w:rPr>
          <w:rFonts w:ascii="Times New Roman" w:hAnsi="Times New Roman" w:cs="Times New Roman"/>
          <w:b/>
          <w:sz w:val="24"/>
          <w:szCs w:val="24"/>
        </w:rPr>
        <w:t xml:space="preserve">        Program to the Federal Government. If there are anticipated increases,</w:t>
      </w:r>
    </w:p>
    <w:p>
      <w:pPr>
        <w:spacing w:after="12" w:line="248" w:lineRule="auto"/>
        <w:ind w:left="450" w:right="550"/>
        <w:rPr>
          <w:rFonts w:ascii="Times New Roman" w:hAnsi="Times New Roman" w:cs="Times New Roman"/>
          <w:b/>
          <w:sz w:val="24"/>
          <w:szCs w:val="24"/>
        </w:rPr>
      </w:pPr>
      <w:r>
        <w:rPr>
          <w:rFonts w:ascii="Times New Roman" w:hAnsi="Times New Roman" w:cs="Times New Roman"/>
          <w:b/>
          <w:sz w:val="24"/>
          <w:szCs w:val="24"/>
        </w:rPr>
        <w:t xml:space="preserve">        confirm that the costs will be paid from non-Federal funds. </w:t>
      </w:r>
    </w:p>
    <w:p>
      <w:pPr>
        <w:spacing w:after="12" w:line="248" w:lineRule="auto"/>
        <w:ind w:left="450" w:right="550"/>
        <w:rPr>
          <w:rFonts w:ascii="Times New Roman" w:hAnsi="Times New Roman" w:cs="Times New Roman"/>
          <w:sz w:val="24"/>
          <w:szCs w:val="24"/>
        </w:rPr>
      </w:pPr>
      <w:r>
        <w:rPr>
          <w:rFonts w:ascii="Times New Roman" w:hAnsi="Times New Roman" w:cs="Times New Roman"/>
          <w:b/>
          <w:sz w:val="24"/>
          <w:szCs w:val="24"/>
        </w:rPr>
        <w:t xml:space="preserve">         [Section 12(l)(1)(A)(iii) of the NSLA]: </w:t>
      </w:r>
      <w:r>
        <w:rPr>
          <w:rFonts w:ascii="Times New Roman" w:hAnsi="Times New Roman" w:cs="Times New Roman"/>
          <w:sz w:val="24"/>
          <w:szCs w:val="24"/>
        </w:rPr>
        <w:t>No cost increase to USDA.  Maine</w:t>
      </w:r>
    </w:p>
    <w:p>
      <w:pPr>
        <w:spacing w:after="12" w:line="248" w:lineRule="auto"/>
        <w:ind w:left="450" w:right="55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cost increase would be absorbed by current staff.  </w:t>
      </w:r>
    </w:p>
    <w:p>
      <w:pPr>
        <w:spacing w:after="12" w:line="248" w:lineRule="auto"/>
        <w:ind w:left="450" w:right="550"/>
        <w:rPr>
          <w:rFonts w:ascii="Times New Roman" w:hAnsi="Times New Roman" w:cs="Times New Roman"/>
          <w:b/>
          <w:sz w:val="24"/>
          <w:szCs w:val="24"/>
        </w:rPr>
      </w:pPr>
    </w:p>
    <w:p>
      <w:pPr>
        <w:spacing w:after="12" w:line="259" w:lineRule="auto"/>
        <w:ind w:left="540" w:right="547"/>
        <w:rPr>
          <w:rFonts w:ascii="Times New Roman" w:hAnsi="Times New Roman" w:cs="Times New Roman"/>
          <w:sz w:val="24"/>
          <w:szCs w:val="24"/>
        </w:rPr>
      </w:pPr>
      <w:r>
        <w:rPr>
          <w:rFonts w:ascii="Times New Roman" w:hAnsi="Times New Roman" w:cs="Times New Roman"/>
          <w:b/>
          <w:sz w:val="24"/>
          <w:szCs w:val="24"/>
        </w:rPr>
        <w:t xml:space="preserve">10. Anticipated waiver implementation date and </w:t>
      </w:r>
      <w:proofErr w:type="gramStart"/>
      <w:r>
        <w:rPr>
          <w:rFonts w:ascii="Times New Roman" w:hAnsi="Times New Roman" w:cs="Times New Roman"/>
          <w:b/>
          <w:sz w:val="24"/>
          <w:szCs w:val="24"/>
        </w:rPr>
        <w:t>time period</w:t>
      </w:r>
      <w:proofErr w:type="gramEnd"/>
      <w:r>
        <w:rPr>
          <w:rFonts w:ascii="Times New Roman" w:hAnsi="Times New Roman" w:cs="Times New Roman"/>
          <w:b/>
          <w:sz w:val="24"/>
          <w:szCs w:val="24"/>
        </w:rPr>
        <w:t xml:space="preserve">:   </w:t>
      </w:r>
      <w:r>
        <w:rPr>
          <w:rFonts w:ascii="Times New Roman" w:hAnsi="Times New Roman" w:cs="Times New Roman"/>
          <w:sz w:val="24"/>
          <w:szCs w:val="24"/>
        </w:rPr>
        <w:t>The project</w:t>
      </w:r>
    </w:p>
    <w:p>
      <w:pPr>
        <w:spacing w:after="12" w:line="259" w:lineRule="auto"/>
        <w:ind w:left="706" w:right="547"/>
        <w:rPr>
          <w:rFonts w:ascii="Times New Roman" w:hAnsi="Times New Roman" w:cs="Times New Roman"/>
          <w:sz w:val="24"/>
          <w:szCs w:val="24"/>
        </w:rPr>
      </w:pPr>
      <w:r>
        <w:rPr>
          <w:rFonts w:ascii="Times New Roman" w:hAnsi="Times New Roman" w:cs="Times New Roman"/>
          <w:sz w:val="24"/>
          <w:szCs w:val="24"/>
        </w:rPr>
        <w:t xml:space="preserve">    could start as early as 1/2022 with USDA wavier approval.  </w:t>
      </w:r>
    </w:p>
    <w:p>
      <w:pPr>
        <w:spacing w:after="12" w:line="259" w:lineRule="auto"/>
        <w:ind w:left="706" w:right="547"/>
        <w:rPr>
          <w:rFonts w:ascii="Times New Roman" w:hAnsi="Times New Roman" w:cs="Times New Roman"/>
          <w:sz w:val="24"/>
          <w:szCs w:val="24"/>
        </w:rPr>
      </w:pPr>
    </w:p>
    <w:p>
      <w:pPr>
        <w:spacing w:after="12" w:line="248" w:lineRule="auto"/>
        <w:ind w:left="540" w:right="550"/>
        <w:rPr>
          <w:rFonts w:ascii="Times New Roman" w:hAnsi="Times New Roman" w:cs="Times New Roman"/>
          <w:bCs/>
          <w:sz w:val="24"/>
          <w:szCs w:val="24"/>
        </w:rPr>
      </w:pPr>
      <w:r>
        <w:rPr>
          <w:rFonts w:ascii="Times New Roman" w:hAnsi="Times New Roman" w:cs="Times New Roman"/>
          <w:b/>
          <w:sz w:val="24"/>
          <w:szCs w:val="24"/>
        </w:rPr>
        <w:lastRenderedPageBreak/>
        <w:t xml:space="preserve">11. Proposed monitoring and review procedures:   </w:t>
      </w:r>
      <w:r>
        <w:rPr>
          <w:rFonts w:ascii="Times New Roman" w:hAnsi="Times New Roman" w:cs="Times New Roman"/>
          <w:bCs/>
          <w:sz w:val="24"/>
          <w:szCs w:val="24"/>
        </w:rPr>
        <w:t xml:space="preserve">The State Agency will handle requests for payment.  During Admin Reviews, staff will review documentation on site.  </w:t>
      </w:r>
    </w:p>
    <w:p>
      <w:pPr>
        <w:spacing w:after="0"/>
        <w:ind w:left="720" w:firstLine="58"/>
        <w:rPr>
          <w:rFonts w:ascii="Times New Roman" w:hAnsi="Times New Roman" w:cs="Times New Roman"/>
          <w:sz w:val="24"/>
          <w:szCs w:val="24"/>
        </w:rPr>
      </w:pPr>
    </w:p>
    <w:p>
      <w:pPr>
        <w:spacing w:after="12" w:line="248" w:lineRule="auto"/>
        <w:ind w:left="540" w:right="550"/>
        <w:rPr>
          <w:rFonts w:ascii="Times New Roman" w:hAnsi="Times New Roman" w:cs="Times New Roman"/>
          <w:b/>
          <w:sz w:val="24"/>
          <w:szCs w:val="24"/>
        </w:rPr>
      </w:pPr>
      <w:r>
        <w:rPr>
          <w:rFonts w:ascii="Times New Roman" w:hAnsi="Times New Roman" w:cs="Times New Roman"/>
          <w:b/>
          <w:sz w:val="24"/>
          <w:szCs w:val="24"/>
        </w:rPr>
        <w:t xml:space="preserve">12. Proposed reporting requirements (include type of data and due date(s) </w:t>
      </w:r>
    </w:p>
    <w:p>
      <w:pPr>
        <w:spacing w:after="12" w:line="248" w:lineRule="auto"/>
        <w:ind w:left="540" w:right="550"/>
        <w:rPr>
          <w:rFonts w:ascii="Times New Roman" w:hAnsi="Times New Roman" w:cs="Times New Roman"/>
          <w:bCs/>
          <w:sz w:val="24"/>
          <w:szCs w:val="24"/>
        </w:rPr>
      </w:pPr>
      <w:r>
        <w:rPr>
          <w:rFonts w:ascii="Times New Roman" w:hAnsi="Times New Roman" w:cs="Times New Roman"/>
          <w:b/>
          <w:sz w:val="24"/>
          <w:szCs w:val="24"/>
        </w:rPr>
        <w:t xml:space="preserve">      to FNS):  </w:t>
      </w:r>
      <w:r>
        <w:rPr>
          <w:rFonts w:ascii="Times New Roman" w:hAnsi="Times New Roman" w:cs="Times New Roman"/>
          <w:bCs/>
          <w:sz w:val="24"/>
          <w:szCs w:val="24"/>
        </w:rPr>
        <w:t>Reporting would occur the same process in place as the monthly claim for reimbursement. Year end close out of DoD and USDA Food would be the same.</w:t>
      </w:r>
    </w:p>
    <w:p>
      <w:pPr>
        <w:spacing w:after="0" w:line="259" w:lineRule="auto"/>
        <w:ind w:left="360" w:firstLine="60"/>
        <w:rPr>
          <w:rFonts w:ascii="Times New Roman" w:hAnsi="Times New Roman" w:cs="Times New Roman"/>
          <w:sz w:val="24"/>
          <w:szCs w:val="24"/>
        </w:rPr>
      </w:pPr>
    </w:p>
    <w:p>
      <w:pPr>
        <w:spacing w:after="12" w:line="248" w:lineRule="auto"/>
        <w:ind w:left="720" w:right="550" w:hanging="180"/>
        <w:rPr>
          <w:rFonts w:ascii="Times New Roman" w:hAnsi="Times New Roman" w:cs="Times New Roman"/>
          <w:b/>
          <w:sz w:val="24"/>
          <w:szCs w:val="24"/>
        </w:rPr>
      </w:pPr>
      <w:r>
        <w:rPr>
          <w:rFonts w:ascii="Times New Roman" w:hAnsi="Times New Roman" w:cs="Times New Roman"/>
          <w:b/>
          <w:sz w:val="24"/>
          <w:szCs w:val="24"/>
        </w:rPr>
        <w:t xml:space="preserve">13. Link to or a copy of the public notice informing the public about the </w:t>
      </w:r>
    </w:p>
    <w:p>
      <w:pPr>
        <w:spacing w:after="12" w:line="248" w:lineRule="auto"/>
        <w:ind w:left="720" w:right="550" w:hanging="180"/>
        <w:rPr>
          <w:rFonts w:ascii="Times New Roman" w:hAnsi="Times New Roman" w:cs="Times New Roman"/>
          <w:sz w:val="24"/>
          <w:szCs w:val="24"/>
        </w:rPr>
      </w:pPr>
      <w:r>
        <w:rPr>
          <w:rFonts w:ascii="Times New Roman" w:hAnsi="Times New Roman" w:cs="Times New Roman"/>
          <w:b/>
          <w:sz w:val="24"/>
          <w:szCs w:val="24"/>
        </w:rPr>
        <w:t xml:space="preserve">      proposed waiver [Section 12(l)(1)(A)(ii) of the NSLA]: </w:t>
      </w:r>
    </w:p>
    <w:p>
      <w:pPr>
        <w:spacing w:after="0" w:line="259" w:lineRule="auto"/>
        <w:ind w:left="360" w:firstLine="60"/>
        <w:rPr>
          <w:rFonts w:ascii="Times New Roman" w:hAnsi="Times New Roman" w:cs="Times New Roman"/>
          <w:sz w:val="24"/>
          <w:szCs w:val="24"/>
        </w:rPr>
      </w:pPr>
      <w:hyperlink r:id="rId16" w:history="1">
        <w:r>
          <w:rPr>
            <w:rStyle w:val="Hyperlink"/>
            <w:rFonts w:ascii="Times New Roman" w:hAnsi="Times New Roman" w:cs="Times New Roman"/>
            <w:sz w:val="24"/>
            <w:szCs w:val="24"/>
          </w:rPr>
          <w:t>https://www.maine.gov/doe/schools/nutrition/laws</w:t>
        </w:r>
      </w:hyperlink>
      <w:r>
        <w:rPr>
          <w:rFonts w:ascii="Times New Roman" w:hAnsi="Times New Roman" w:cs="Times New Roman"/>
          <w:sz w:val="24"/>
          <w:szCs w:val="24"/>
        </w:rPr>
        <w:t xml:space="preserve"> </w:t>
      </w:r>
    </w:p>
    <w:p>
      <w:pPr>
        <w:spacing w:after="12" w:line="248" w:lineRule="auto"/>
        <w:ind w:left="630" w:right="550" w:hanging="90"/>
        <w:rPr>
          <w:rFonts w:ascii="Times New Roman" w:hAnsi="Times New Roman" w:cs="Times New Roman"/>
          <w:sz w:val="24"/>
          <w:szCs w:val="24"/>
        </w:rPr>
      </w:pPr>
      <w:r>
        <w:rPr>
          <w:rFonts w:ascii="Times New Roman" w:hAnsi="Times New Roman" w:cs="Times New Roman"/>
          <w:b/>
          <w:sz w:val="24"/>
          <w:szCs w:val="24"/>
        </w:rPr>
        <w:t xml:space="preserve">14. Signature and title of requesting official:  </w:t>
      </w:r>
    </w:p>
    <w:p>
      <w:pPr>
        <w:spacing w:after="0" w:line="259" w:lineRule="auto"/>
        <w:ind w:left="360"/>
        <w:rPr>
          <w:rFonts w:ascii="Times New Roman" w:hAnsi="Times New Roman" w:cs="Times New Roman"/>
          <w:sz w:val="24"/>
          <w:szCs w:val="24"/>
        </w:rPr>
      </w:pPr>
      <w:r>
        <w:rPr>
          <w:rFonts w:ascii="Times New Roman" w:eastAsia="Arial" w:hAnsi="Times New Roman" w:cs="Times New Roman"/>
          <w:b/>
          <w:sz w:val="24"/>
          <w:szCs w:val="24"/>
        </w:rPr>
        <w:t xml:space="preserve"> </w:t>
      </w:r>
    </w:p>
    <w:p>
      <w:pPr>
        <w:spacing w:after="12" w:line="248" w:lineRule="auto"/>
        <w:ind w:left="720" w:right="550" w:firstLine="451"/>
        <w:rPr>
          <w:rFonts w:ascii="Times New Roman" w:hAnsi="Times New Roman" w:cs="Times New Roman"/>
          <w:sz w:val="24"/>
          <w:szCs w:val="24"/>
        </w:rPr>
      </w:pPr>
      <w:r>
        <w:rPr>
          <w:rFonts w:ascii="Times New Roman" w:hAnsi="Times New Roman" w:cs="Times New Roman"/>
          <w:b/>
          <w:sz w:val="24"/>
          <w:szCs w:val="24"/>
        </w:rPr>
        <w:t xml:space="preserve">Director Child Nutrition Maine DOE _________________________________________________ </w:t>
      </w:r>
    </w:p>
    <w:p>
      <w:pPr>
        <w:spacing w:after="33"/>
        <w:ind w:left="1181"/>
        <w:rPr>
          <w:rFonts w:ascii="Times New Roman" w:hAnsi="Times New Roman" w:cs="Times New Roman"/>
          <w:sz w:val="24"/>
          <w:szCs w:val="24"/>
        </w:rPr>
      </w:pPr>
      <w:r>
        <w:rPr>
          <w:rFonts w:ascii="Times New Roman" w:hAnsi="Times New Roman" w:cs="Times New Roman"/>
          <w:sz w:val="24"/>
          <w:szCs w:val="24"/>
        </w:rPr>
        <w:t xml:space="preserve">Title:  </w:t>
      </w:r>
    </w:p>
    <w:p>
      <w:pPr>
        <w:ind w:left="1181"/>
        <w:rPr>
          <w:rFonts w:ascii="Times New Roman" w:hAnsi="Times New Roman" w:cs="Times New Roman"/>
          <w:sz w:val="24"/>
          <w:szCs w:val="24"/>
        </w:rPr>
      </w:pPr>
      <w:r>
        <w:rPr>
          <w:rFonts w:ascii="Times New Roman" w:hAnsi="Times New Roman" w:cs="Times New Roman"/>
          <w:sz w:val="24"/>
          <w:szCs w:val="24"/>
        </w:rPr>
        <w:t xml:space="preserve">Requesting official’s email address for transmission of response:  </w:t>
      </w:r>
    </w:p>
    <w:p>
      <w:pPr>
        <w:spacing w:after="0" w:line="259" w:lineRule="auto"/>
        <w:ind w:left="1377"/>
        <w:jc w:val="center"/>
        <w:rPr>
          <w:rFonts w:ascii="Times New Roman" w:hAnsi="Times New Roman" w:cs="Times New Roman"/>
          <w:sz w:val="24"/>
          <w:szCs w:val="24"/>
        </w:rPr>
      </w:pPr>
      <w:r>
        <w:rPr>
          <w:rFonts w:ascii="Times New Roman" w:hAnsi="Times New Roman" w:cs="Times New Roman"/>
          <w:b/>
          <w:sz w:val="24"/>
          <w:szCs w:val="24"/>
        </w:rPr>
        <w:t xml:space="preserve"> </w:t>
      </w:r>
    </w:p>
    <w:p>
      <w:pPr>
        <w:spacing w:after="12" w:line="248" w:lineRule="auto"/>
        <w:ind w:left="355" w:right="550"/>
        <w:rPr>
          <w:rFonts w:ascii="Times New Roman" w:hAnsi="Times New Roman" w:cs="Times New Roman"/>
          <w:sz w:val="24"/>
          <w:szCs w:val="24"/>
        </w:rPr>
      </w:pPr>
      <w:r>
        <w:rPr>
          <w:rFonts w:ascii="Times New Roman" w:hAnsi="Times New Roman" w:cs="Times New Roman"/>
          <w:b/>
          <w:sz w:val="24"/>
          <w:szCs w:val="24"/>
        </w:rPr>
        <w:t>TO BE COMPLETED BY FNS REGIONAL OFFICE:</w:t>
      </w:r>
      <w:r>
        <w:rPr>
          <w:rFonts w:ascii="Times New Roman" w:hAnsi="Times New Roman" w:cs="Times New Roman"/>
          <w:i/>
          <w:sz w:val="24"/>
          <w:szCs w:val="24"/>
        </w:rPr>
        <w:t xml:space="preserve"> </w:t>
      </w:r>
    </w:p>
    <w:p>
      <w:pPr>
        <w:spacing w:after="0" w:line="259" w:lineRule="auto"/>
        <w:ind w:left="360"/>
        <w:rPr>
          <w:rFonts w:ascii="Times New Roman" w:hAnsi="Times New Roman" w:cs="Times New Roman"/>
          <w:sz w:val="24"/>
          <w:szCs w:val="24"/>
        </w:rPr>
      </w:pPr>
      <w:r>
        <w:rPr>
          <w:rFonts w:ascii="Times New Roman" w:hAnsi="Times New Roman" w:cs="Times New Roman"/>
          <w:i/>
          <w:sz w:val="24"/>
          <w:szCs w:val="24"/>
        </w:rPr>
        <w:t xml:space="preserve"> </w:t>
      </w:r>
    </w:p>
    <w:p>
      <w:pPr>
        <w:spacing w:after="0" w:line="238" w:lineRule="auto"/>
        <w:ind w:left="360"/>
        <w:rPr>
          <w:rFonts w:ascii="Times New Roman" w:hAnsi="Times New Roman" w:cs="Times New Roman"/>
          <w:sz w:val="24"/>
          <w:szCs w:val="24"/>
        </w:rPr>
      </w:pPr>
      <w:r>
        <w:rPr>
          <w:rFonts w:ascii="Times New Roman" w:hAnsi="Times New Roman" w:cs="Times New Roman"/>
          <w:i/>
          <w:sz w:val="24"/>
          <w:szCs w:val="24"/>
        </w:rPr>
        <w:t xml:space="preserve">FNS Regional Offices are requested to ensure the questions have been adequately addressed by the State agency and formulate an opinion and justification for a response to the waiver request based on their knowledge, </w:t>
      </w:r>
      <w:proofErr w:type="gramStart"/>
      <w:r>
        <w:rPr>
          <w:rFonts w:ascii="Times New Roman" w:hAnsi="Times New Roman" w:cs="Times New Roman"/>
          <w:i/>
          <w:sz w:val="24"/>
          <w:szCs w:val="24"/>
        </w:rPr>
        <w:t>experience</w:t>
      </w:r>
      <w:proofErr w:type="gramEnd"/>
      <w:r>
        <w:rPr>
          <w:rFonts w:ascii="Times New Roman" w:hAnsi="Times New Roman" w:cs="Times New Roman"/>
          <w:i/>
          <w:sz w:val="24"/>
          <w:szCs w:val="24"/>
        </w:rPr>
        <w:t xml:space="preserve"> and work with the State. </w:t>
      </w:r>
    </w:p>
    <w:p>
      <w:pPr>
        <w:spacing w:after="0" w:line="259" w:lineRule="auto"/>
        <w:ind w:left="360"/>
        <w:rPr>
          <w:rFonts w:ascii="Times New Roman" w:hAnsi="Times New Roman" w:cs="Times New Roman"/>
          <w:sz w:val="24"/>
          <w:szCs w:val="24"/>
        </w:rPr>
      </w:pPr>
      <w:r>
        <w:rPr>
          <w:rFonts w:ascii="Times New Roman" w:hAnsi="Times New Roman" w:cs="Times New Roman"/>
          <w:i/>
          <w:sz w:val="24"/>
          <w:szCs w:val="24"/>
        </w:rPr>
        <w:t xml:space="preserve"> </w:t>
      </w:r>
    </w:p>
    <w:p>
      <w:pPr>
        <w:spacing w:after="12" w:line="248" w:lineRule="auto"/>
        <w:ind w:left="355" w:right="550"/>
        <w:rPr>
          <w:rFonts w:ascii="Times New Roman" w:hAnsi="Times New Roman" w:cs="Times New Roman"/>
          <w:sz w:val="24"/>
          <w:szCs w:val="24"/>
        </w:rPr>
      </w:pPr>
      <w:r>
        <w:rPr>
          <w:rFonts w:ascii="Times New Roman" w:hAnsi="Times New Roman" w:cs="Times New Roman"/>
          <w:b/>
          <w:sz w:val="24"/>
          <w:szCs w:val="24"/>
        </w:rPr>
        <w:t xml:space="preserve">Date request was received at Regional Office:   </w:t>
      </w:r>
    </w:p>
    <w:p>
      <w:pPr>
        <w:spacing w:after="12" w:line="248" w:lineRule="auto"/>
        <w:ind w:left="1080" w:right="550" w:hanging="360"/>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w:t>
      </w:r>
      <w:r>
        <w:rPr>
          <w:rFonts w:ascii="Times New Roman" w:hAnsi="Times New Roman" w:cs="Times New Roman"/>
          <w:b/>
          <w:sz w:val="24"/>
          <w:szCs w:val="24"/>
        </w:rPr>
        <w:t xml:space="preserve">Check this box to confirm that the State agency has provided public notice in accordance with Section 12(l)(1)(A)(ii) of the NSLA </w:t>
      </w:r>
    </w:p>
    <w:p>
      <w:pPr>
        <w:spacing w:after="38" w:line="259" w:lineRule="auto"/>
        <w:ind w:left="1080"/>
        <w:rPr>
          <w:rFonts w:ascii="Times New Roman" w:hAnsi="Times New Roman" w:cs="Times New Roman"/>
          <w:sz w:val="24"/>
          <w:szCs w:val="24"/>
        </w:rPr>
      </w:pPr>
      <w:r>
        <w:rPr>
          <w:rFonts w:ascii="Times New Roman" w:hAnsi="Times New Roman" w:cs="Times New Roman"/>
          <w:b/>
          <w:sz w:val="24"/>
          <w:szCs w:val="24"/>
        </w:rPr>
        <w:t xml:space="preserve"> </w:t>
      </w:r>
    </w:p>
    <w:p>
      <w:pPr>
        <w:spacing w:after="12" w:line="248" w:lineRule="auto"/>
        <w:ind w:left="355" w:right="550"/>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w:t>
      </w:r>
      <w:r>
        <w:rPr>
          <w:rFonts w:ascii="Times New Roman" w:hAnsi="Times New Roman" w:cs="Times New Roman"/>
          <w:b/>
          <w:sz w:val="24"/>
          <w:szCs w:val="24"/>
        </w:rPr>
        <w:t xml:space="preserve">Regional Office Analysis and Recommendations:   </w:t>
      </w:r>
    </w:p>
    <w:p>
      <w:pPr>
        <w:spacing w:after="0" w:line="259" w:lineRule="auto"/>
        <w:ind w:left="360"/>
        <w:rPr>
          <w:rFonts w:ascii="Times New Roman" w:hAnsi="Times New Roman" w:cs="Times New Roman"/>
          <w:sz w:val="24"/>
          <w:szCs w:val="24"/>
        </w:rPr>
      </w:pPr>
    </w:p>
    <w:p>
      <w:pPr>
        <w:rPr>
          <w:rFonts w:ascii="Times New Roman" w:hAnsi="Times New Roman" w:cs="Times New Roman"/>
          <w:sz w:val="24"/>
          <w:szCs w:val="24"/>
        </w:rPr>
      </w:pPr>
    </w:p>
    <w:sectPr>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tc>
        <w:tcPr>
          <w:tcW w:w="3120" w:type="dxa"/>
        </w:tcPr>
        <w:p>
          <w:pPr>
            <w:pStyle w:val="Header"/>
            <w:ind w:left="-115"/>
          </w:pPr>
        </w:p>
      </w:tc>
      <w:tc>
        <w:tcPr>
          <w:tcW w:w="3120" w:type="dxa"/>
        </w:tcPr>
        <w:p>
          <w:pPr>
            <w:pStyle w:val="Header"/>
            <w:jc w:val="center"/>
          </w:pPr>
        </w:p>
      </w:tc>
      <w:tc>
        <w:tcPr>
          <w:tcW w:w="3120" w:type="dxa"/>
        </w:tcPr>
        <w:p>
          <w:pPr>
            <w:pStyle w:val="Header"/>
            <w:ind w:right="-115"/>
            <w:jc w:val="right"/>
          </w:pPr>
        </w:p>
      </w:tc>
    </w:tr>
  </w:tbl>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Footer"/>
      <w:tabs>
        <w:tab w:val="clear" w:pos="9360"/>
        <w:tab w:val="right" w:pos="9720"/>
      </w:tabs>
      <w:ind w:right="-720" w:hanging="540"/>
      <w:rPr>
        <w:rFonts w:ascii="Book Antiqua" w:hAnsi="Book Antiqua"/>
        <w:noProof/>
        <w:color w:val="3333FF"/>
        <w:sz w:val="16"/>
        <w:szCs w:val="16"/>
      </w:rPr>
    </w:pPr>
    <w:r>
      <w:rPr>
        <w:rFonts w:ascii="Book Antiqua" w:hAnsi="Book Antiqua"/>
        <w:noProof/>
        <w:color w:val="3333FF"/>
        <w:sz w:val="18"/>
        <w:szCs w:val="18"/>
      </w:rPr>
      <w:t>OFFICES LOCATED AT THE BURTON M. CROSS STATE OFFICE BUILDING</w:t>
    </w:r>
    <w:r>
      <w:rPr>
        <w:noProof/>
      </w:rPr>
      <w:t xml:space="preserve">                         </w:t>
    </w:r>
    <w:r>
      <w:rPr>
        <w:rFonts w:ascii="Book Antiqua" w:hAnsi="Book Antiqua"/>
        <w:noProof/>
        <w:color w:val="3333FF"/>
        <w:sz w:val="16"/>
        <w:szCs w:val="16"/>
      </w:rPr>
      <w:t>AN EQUAL OPPORTUNITY EMPLOYER</w:t>
    </w:r>
  </w:p>
  <w:p>
    <w:pPr>
      <w:pStyle w:val="Footer"/>
      <w:tabs>
        <w:tab w:val="clear" w:pos="9360"/>
        <w:tab w:val="right" w:pos="9720"/>
      </w:tabs>
      <w:ind w:right="-720" w:hanging="540"/>
      <w:rPr>
        <w:rFonts w:ascii="Book Antiqua" w:hAnsi="Book Antiqua"/>
        <w:color w:val="3333FF"/>
        <w:sz w:val="16"/>
        <w:szCs w:val="16"/>
      </w:rPr>
    </w:pPr>
    <w:r>
      <w:rPr>
        <w:rFonts w:ascii="Book Antiqua" w:hAnsi="Book Antiqua"/>
        <w:noProof/>
        <w:color w:val="3333FF"/>
        <w:sz w:val="16"/>
        <w:szCs w:val="16"/>
      </w:rPr>
      <w:t>PHONE (207) 624-6600     FAX:  (207) 624-6700     TTY USERS CALL MAINE RELAY 711                                     ONLINE:  WWW.MAINE.GOV/DOE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Footer"/>
      <w:tabs>
        <w:tab w:val="clear" w:pos="9360"/>
        <w:tab w:val="right" w:pos="9720"/>
      </w:tabs>
      <w:ind w:right="-720" w:hanging="540"/>
      <w:rPr>
        <w:rFonts w:ascii="Book Antiqua" w:hAnsi="Book Antiqua"/>
        <w:color w:val="3333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tc>
        <w:tcPr>
          <w:tcW w:w="3120" w:type="dxa"/>
        </w:tcPr>
        <w:p>
          <w:pPr>
            <w:pStyle w:val="Header"/>
            <w:ind w:left="-115"/>
          </w:pPr>
        </w:p>
      </w:tc>
      <w:tc>
        <w:tcPr>
          <w:tcW w:w="3120" w:type="dxa"/>
        </w:tcPr>
        <w:p>
          <w:pPr>
            <w:pStyle w:val="Header"/>
            <w:jc w:val="center"/>
          </w:pPr>
        </w:p>
      </w:tc>
      <w:tc>
        <w:tcPr>
          <w:tcW w:w="3120" w:type="dxa"/>
        </w:tcPr>
        <w:p>
          <w:pPr>
            <w:pStyle w:val="Header"/>
            <w:ind w:right="-115"/>
            <w:jc w:val="right"/>
          </w:pPr>
        </w:p>
      </w:tc>
    </w:tr>
  </w:tbl>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Header"/>
      <w:jc w:val="center"/>
      <w:rPr>
        <w:rFonts w:ascii="Book Antiqua" w:hAnsi="Book Antiqua"/>
        <w:b/>
        <w:color w:val="3333FF"/>
        <w:sz w:val="18"/>
        <w:szCs w:val="18"/>
      </w:rPr>
    </w:pPr>
    <w:r>
      <w:rPr>
        <w:noProof/>
      </w:rPr>
      <w:drawing>
        <wp:anchor distT="0" distB="0" distL="114300" distR="114300" simplePos="0" relativeHeight="251663360" behindDoc="0" locked="0" layoutInCell="1" allowOverlap="1">
          <wp:simplePos x="0" y="0"/>
          <wp:positionH relativeFrom="column">
            <wp:posOffset>-113665</wp:posOffset>
          </wp:positionH>
          <wp:positionV relativeFrom="paragraph">
            <wp:posOffset>106680</wp:posOffset>
          </wp:positionV>
          <wp:extent cx="486410" cy="61087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410" cy="61087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61312" behindDoc="0" locked="0" layoutInCell="1" allowOverlap="1">
              <wp:simplePos x="0" y="0"/>
              <wp:positionH relativeFrom="column">
                <wp:posOffset>-381000</wp:posOffset>
              </wp:positionH>
              <wp:positionV relativeFrom="paragraph">
                <wp:posOffset>-422275</wp:posOffset>
              </wp:positionV>
              <wp:extent cx="1041400" cy="1403985"/>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403985"/>
                      </a:xfrm>
                      <a:prstGeom prst="rect">
                        <a:avLst/>
                      </a:prstGeom>
                      <a:noFill/>
                      <a:ln w="9525">
                        <a:noFill/>
                        <a:miter lim="800000"/>
                        <a:headEnd/>
                        <a:tailEnd/>
                      </a:ln>
                    </wps:spPr>
                    <wps:txbx>
                      <w:txbxConten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pt;margin-top:-33.25pt;width:82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" filled="f" stroked="f">
              <v:textbox style="mso-fit-shape-to-text:t">
                <w:txbxContent>
                  <w:p/>
                </w:txbxContent>
              </v:textbox>
            </v:shape>
          </w:pict>
        </mc:Fallback>
      </mc:AlternateContent>
    </w:r>
    <w:r>
      <w:rPr>
        <w:rFonts w:ascii="Book Antiqua" w:hAnsi="Book Antiqua"/>
        <w:noProof/>
        <w:color w:val="3333FF"/>
        <w:sz w:val="16"/>
        <w:szCs w:val="16"/>
      </w:rPr>
      <mc:AlternateContent>
        <mc:Choice Requires="wps">
          <w:drawing>
            <wp:anchor distT="0" distB="0" distL="114300" distR="114300" simplePos="0" relativeHeight="251659264" behindDoc="0" locked="0" layoutInCell="1" allowOverlap="1">
              <wp:simplePos x="0" y="0"/>
              <wp:positionH relativeFrom="column">
                <wp:posOffset>-381000</wp:posOffset>
              </wp:positionH>
              <wp:positionV relativeFrom="paragraph">
                <wp:posOffset>-317500</wp:posOffset>
              </wp:positionV>
              <wp:extent cx="914400" cy="1066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66800"/>
                      </a:xfrm>
                      <a:prstGeom prst="rect">
                        <a:avLst/>
                      </a:prstGeom>
                      <a:noFill/>
                      <a:ln w="9525">
                        <a:noFill/>
                        <a:miter lim="800000"/>
                        <a:headEnd/>
                        <a:tailEnd/>
                      </a:ln>
                    </wps:spPr>
                    <wps:txbx>
                      <w:txbxConten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0pt;margin-top:-25pt;width:1in;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" filled="f" stroked="f">
              <v:textbox>
                <w:txbxContent>
                  <w:p/>
                </w:txbxContent>
              </v:textbox>
            </v:shape>
          </w:pict>
        </mc:Fallback>
      </mc:AlternateContent>
    </w:r>
    <w:r>
      <w:rPr>
        <w:rFonts w:ascii="Book Antiqua" w:hAnsi="Book Antiqua"/>
        <w:b/>
        <w:bCs/>
        <w:color w:val="3333FF"/>
        <w:sz w:val="18"/>
        <w:szCs w:val="18"/>
      </w:rPr>
      <w:t>STATE OF MAINE</w:t>
    </w:r>
  </w:p>
  <w:p>
    <w:pPr>
      <w:pStyle w:val="Header"/>
      <w:jc w:val="center"/>
      <w:rPr>
        <w:rFonts w:ascii="Book Antiqua" w:hAnsi="Book Antiqua"/>
        <w:b/>
        <w:color w:val="3333FF"/>
        <w:sz w:val="18"/>
        <w:szCs w:val="18"/>
      </w:rPr>
    </w:pPr>
    <w:r>
      <w:rPr>
        <w:rFonts w:ascii="Book Antiqua" w:hAnsi="Book Antiqua"/>
        <w:b/>
        <w:color w:val="3333FF"/>
        <w:sz w:val="18"/>
        <w:szCs w:val="18"/>
      </w:rPr>
      <w:t>DEPARTMENT OF EDUCATION</w:t>
    </w:r>
  </w:p>
  <w:p>
    <w:pPr>
      <w:pStyle w:val="Header"/>
      <w:jc w:val="center"/>
      <w:rPr>
        <w:rFonts w:ascii="Book Antiqua" w:hAnsi="Book Antiqua"/>
        <w:b/>
        <w:color w:val="3333FF"/>
        <w:sz w:val="18"/>
        <w:szCs w:val="18"/>
      </w:rPr>
    </w:pPr>
    <w:r>
      <w:rPr>
        <w:rFonts w:ascii="Book Antiqua" w:hAnsi="Book Antiqua"/>
        <w:b/>
        <w:color w:val="3333FF"/>
        <w:sz w:val="18"/>
        <w:szCs w:val="18"/>
      </w:rPr>
      <w:t>23 STATE HOUSE STATION</w:t>
    </w:r>
  </w:p>
  <w:p>
    <w:pPr>
      <w:pStyle w:val="Header"/>
      <w:jc w:val="center"/>
      <w:rPr>
        <w:rFonts w:ascii="Book Antiqua" w:hAnsi="Book Antiqua"/>
        <w:b/>
        <w:color w:val="3333FF"/>
        <w:sz w:val="18"/>
        <w:szCs w:val="18"/>
      </w:rPr>
    </w:pPr>
    <w:r>
      <w:rPr>
        <w:rFonts w:ascii="Book Antiqua" w:hAnsi="Book Antiqua"/>
        <w:b/>
        <w:color w:val="3333FF"/>
        <w:sz w:val="18"/>
        <w:szCs w:val="18"/>
      </w:rPr>
      <w:t>AUGUSTA, ME  04333-0023</w:t>
    </w:r>
  </w:p>
  <w:p>
    <w:pPr>
      <w:pStyle w:val="Header"/>
      <w:jc w:val="center"/>
      <w:rPr>
        <w:rFonts w:ascii="Book Antiqua" w:hAnsi="Book Antiqua"/>
        <w:b/>
        <w:color w:val="3333FF"/>
        <w:sz w:val="18"/>
        <w:szCs w:val="18"/>
      </w:rPr>
    </w:pPr>
  </w:p>
  <w:p>
    <w:pPr>
      <w:pStyle w:val="Header"/>
      <w:tabs>
        <w:tab w:val="clear" w:pos="9360"/>
        <w:tab w:val="right" w:pos="9720"/>
      </w:tabs>
      <w:ind w:right="-720"/>
    </w:pPr>
  </w:p>
  <w:p>
    <w:pPr>
      <w:pStyle w:val="Header"/>
      <w:tabs>
        <w:tab w:val="clear" w:pos="9360"/>
        <w:tab w:val="right" w:pos="9720"/>
      </w:tabs>
      <w:ind w:right="-720" w:hanging="540"/>
      <w:rPr>
        <w:rFonts w:ascii="Book Antiqua" w:hAnsi="Book Antiqua"/>
        <w:b/>
        <w:color w:val="3333FF"/>
        <w:sz w:val="16"/>
        <w:szCs w:val="16"/>
      </w:rPr>
    </w:pPr>
    <w:r>
      <w:rPr>
        <w:rFonts w:ascii="Book Antiqua" w:hAnsi="Book Antiqua"/>
        <w:b/>
        <w:color w:val="3333FF"/>
        <w:sz w:val="16"/>
        <w:szCs w:val="16"/>
      </w:rPr>
      <w:t xml:space="preserve">JANET T. MILLS  </w:t>
    </w:r>
    <w:r>
      <w:rPr>
        <w:rFonts w:ascii="Book Antiqua" w:hAnsi="Book Antiqua"/>
        <w:b/>
        <w:color w:val="3333FF"/>
        <w:sz w:val="18"/>
        <w:szCs w:val="18"/>
      </w:rPr>
      <w:t xml:space="preserve">                                                                                                                                                                  PENDER MAKIN</w:t>
    </w:r>
  </w:p>
  <w:p>
    <w:pPr>
      <w:pStyle w:val="Header"/>
      <w:tabs>
        <w:tab w:val="clear" w:pos="9360"/>
        <w:tab w:val="right" w:pos="9720"/>
      </w:tabs>
      <w:ind w:left="-540" w:right="-720" w:hanging="360"/>
      <w:rPr>
        <w:rFonts w:ascii="Book Antiqua" w:hAnsi="Book Antiqua"/>
        <w:b/>
        <w:color w:val="3333FF"/>
        <w:sz w:val="16"/>
        <w:szCs w:val="16"/>
      </w:rPr>
    </w:pPr>
    <w:r>
      <w:rPr>
        <w:rFonts w:ascii="Book Antiqua" w:hAnsi="Book Antiqua"/>
        <w:b/>
        <w:color w:val="3333FF"/>
        <w:sz w:val="16"/>
        <w:szCs w:val="16"/>
      </w:rPr>
      <w:t xml:space="preserve">              </w:t>
    </w:r>
    <w:r>
      <w:rPr>
        <w:rFonts w:ascii="Book Antiqua" w:hAnsi="Book Antiqua"/>
        <w:b/>
        <w:color w:val="3333FF"/>
        <w:sz w:val="14"/>
        <w:szCs w:val="14"/>
      </w:rPr>
      <w:t xml:space="preserve">GOVERNOR   </w:t>
    </w:r>
    <w:r>
      <w:rPr>
        <w:rFonts w:ascii="Book Antiqua" w:hAnsi="Book Antiqua"/>
        <w:b/>
        <w:color w:val="3333FF"/>
        <w:sz w:val="18"/>
        <w:szCs w:val="18"/>
      </w:rPr>
      <w:t xml:space="preserve">                                                                                                                                                                  </w:t>
    </w:r>
    <w:r>
      <w:rPr>
        <w:rFonts w:ascii="Book Antiqua" w:hAnsi="Book Antiqua"/>
        <w:b/>
        <w:color w:val="3333FF"/>
        <w:sz w:val="14"/>
        <w:szCs w:val="14"/>
      </w:rPr>
      <w:t xml:space="preserve">         COMMISSIONER</w:t>
    </w:r>
  </w:p>
  <w:p>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46338"/>
    <w:multiLevelType w:val="multilevel"/>
    <w:tmpl w:val="642E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62FF3"/>
    <w:multiLevelType w:val="hybridMultilevel"/>
    <w:tmpl w:val="359C211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C4633"/>
    <w:multiLevelType w:val="hybridMultilevel"/>
    <w:tmpl w:val="37DA07DA"/>
    <w:lvl w:ilvl="0" w:tplc="91C48082">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0975F5"/>
    <w:multiLevelType w:val="hybridMultilevel"/>
    <w:tmpl w:val="F3049E5C"/>
    <w:lvl w:ilvl="0" w:tplc="0409000F">
      <w:start w:val="1"/>
      <w:numFmt w:val="decimal"/>
      <w:lvlText w:val="%1."/>
      <w:lvlJc w:val="left"/>
      <w:pPr>
        <w:ind w:left="705"/>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D14BE"/>
    <w:multiLevelType w:val="hybridMultilevel"/>
    <w:tmpl w:val="DFE84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47FA4"/>
    <w:multiLevelType w:val="hybridMultilevel"/>
    <w:tmpl w:val="676CF9DA"/>
    <w:lvl w:ilvl="0" w:tplc="DCA8B108">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5379C7"/>
    <w:multiLevelType w:val="hybridMultilevel"/>
    <w:tmpl w:val="E9F86476"/>
    <w:lvl w:ilvl="0" w:tplc="5FAE026E">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620511"/>
    <w:multiLevelType w:val="hybridMultilevel"/>
    <w:tmpl w:val="1690E636"/>
    <w:lvl w:ilvl="0" w:tplc="0409000F">
      <w:start w:val="1"/>
      <w:numFmt w:val="decimal"/>
      <w:lvlText w:val="%1."/>
      <w:lvlJc w:val="left"/>
      <w:pPr>
        <w:ind w:left="630"/>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9765A2"/>
    <w:multiLevelType w:val="hybridMultilevel"/>
    <w:tmpl w:val="02026E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7A3443"/>
    <w:multiLevelType w:val="hybridMultilevel"/>
    <w:tmpl w:val="32381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813405"/>
    <w:multiLevelType w:val="hybridMultilevel"/>
    <w:tmpl w:val="E8E429B4"/>
    <w:lvl w:ilvl="0" w:tplc="85FEC43C">
      <w:start w:val="1"/>
      <w:numFmt w:val="bullet"/>
      <w:lvlText w:val=""/>
      <w:lvlJc w:val="left"/>
      <w:pPr>
        <w:tabs>
          <w:tab w:val="num" w:pos="720"/>
        </w:tabs>
        <w:ind w:left="720" w:hanging="360"/>
      </w:pPr>
      <w:rPr>
        <w:rFonts w:ascii="Symbol" w:hAnsi="Symbol" w:hint="default"/>
        <w:sz w:val="20"/>
      </w:rPr>
    </w:lvl>
    <w:lvl w:ilvl="1" w:tplc="DFB0DC64" w:tentative="1">
      <w:start w:val="1"/>
      <w:numFmt w:val="bullet"/>
      <w:lvlText w:val="o"/>
      <w:lvlJc w:val="left"/>
      <w:pPr>
        <w:tabs>
          <w:tab w:val="num" w:pos="1440"/>
        </w:tabs>
        <w:ind w:left="1440" w:hanging="360"/>
      </w:pPr>
      <w:rPr>
        <w:rFonts w:ascii="Courier New" w:hAnsi="Courier New" w:hint="default"/>
        <w:sz w:val="20"/>
      </w:rPr>
    </w:lvl>
    <w:lvl w:ilvl="2" w:tplc="77882CDC" w:tentative="1">
      <w:start w:val="1"/>
      <w:numFmt w:val="bullet"/>
      <w:lvlText w:val=""/>
      <w:lvlJc w:val="left"/>
      <w:pPr>
        <w:tabs>
          <w:tab w:val="num" w:pos="2160"/>
        </w:tabs>
        <w:ind w:left="2160" w:hanging="360"/>
      </w:pPr>
      <w:rPr>
        <w:rFonts w:ascii="Wingdings" w:hAnsi="Wingdings" w:hint="default"/>
        <w:sz w:val="20"/>
      </w:rPr>
    </w:lvl>
    <w:lvl w:ilvl="3" w:tplc="7EB8BACE" w:tentative="1">
      <w:start w:val="1"/>
      <w:numFmt w:val="bullet"/>
      <w:lvlText w:val=""/>
      <w:lvlJc w:val="left"/>
      <w:pPr>
        <w:tabs>
          <w:tab w:val="num" w:pos="2880"/>
        </w:tabs>
        <w:ind w:left="2880" w:hanging="360"/>
      </w:pPr>
      <w:rPr>
        <w:rFonts w:ascii="Wingdings" w:hAnsi="Wingdings" w:hint="default"/>
        <w:sz w:val="20"/>
      </w:rPr>
    </w:lvl>
    <w:lvl w:ilvl="4" w:tplc="DF649D62" w:tentative="1">
      <w:start w:val="1"/>
      <w:numFmt w:val="bullet"/>
      <w:lvlText w:val=""/>
      <w:lvlJc w:val="left"/>
      <w:pPr>
        <w:tabs>
          <w:tab w:val="num" w:pos="3600"/>
        </w:tabs>
        <w:ind w:left="3600" w:hanging="360"/>
      </w:pPr>
      <w:rPr>
        <w:rFonts w:ascii="Wingdings" w:hAnsi="Wingdings" w:hint="default"/>
        <w:sz w:val="20"/>
      </w:rPr>
    </w:lvl>
    <w:lvl w:ilvl="5" w:tplc="69FECAF4" w:tentative="1">
      <w:start w:val="1"/>
      <w:numFmt w:val="bullet"/>
      <w:lvlText w:val=""/>
      <w:lvlJc w:val="left"/>
      <w:pPr>
        <w:tabs>
          <w:tab w:val="num" w:pos="4320"/>
        </w:tabs>
        <w:ind w:left="4320" w:hanging="360"/>
      </w:pPr>
      <w:rPr>
        <w:rFonts w:ascii="Wingdings" w:hAnsi="Wingdings" w:hint="default"/>
        <w:sz w:val="20"/>
      </w:rPr>
    </w:lvl>
    <w:lvl w:ilvl="6" w:tplc="9E2A2268" w:tentative="1">
      <w:start w:val="1"/>
      <w:numFmt w:val="bullet"/>
      <w:lvlText w:val=""/>
      <w:lvlJc w:val="left"/>
      <w:pPr>
        <w:tabs>
          <w:tab w:val="num" w:pos="5040"/>
        </w:tabs>
        <w:ind w:left="5040" w:hanging="360"/>
      </w:pPr>
      <w:rPr>
        <w:rFonts w:ascii="Wingdings" w:hAnsi="Wingdings" w:hint="default"/>
        <w:sz w:val="20"/>
      </w:rPr>
    </w:lvl>
    <w:lvl w:ilvl="7" w:tplc="3ED002DA" w:tentative="1">
      <w:start w:val="1"/>
      <w:numFmt w:val="bullet"/>
      <w:lvlText w:val=""/>
      <w:lvlJc w:val="left"/>
      <w:pPr>
        <w:tabs>
          <w:tab w:val="num" w:pos="5760"/>
        </w:tabs>
        <w:ind w:left="5760" w:hanging="360"/>
      </w:pPr>
      <w:rPr>
        <w:rFonts w:ascii="Wingdings" w:hAnsi="Wingdings" w:hint="default"/>
        <w:sz w:val="20"/>
      </w:rPr>
    </w:lvl>
    <w:lvl w:ilvl="8" w:tplc="DC8227F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2456F"/>
    <w:multiLevelType w:val="hybridMultilevel"/>
    <w:tmpl w:val="117C3A38"/>
    <w:lvl w:ilvl="0" w:tplc="D6FAF422">
      <w:start w:val="1"/>
      <w:numFmt w:val="bullet"/>
      <w:lvlText w:val=""/>
      <w:lvlJc w:val="left"/>
      <w:pPr>
        <w:ind w:left="720" w:hanging="360"/>
      </w:pPr>
      <w:rPr>
        <w:rFonts w:ascii="Symbol" w:hAnsi="Symbol" w:hint="default"/>
      </w:rPr>
    </w:lvl>
    <w:lvl w:ilvl="1" w:tplc="4F1AF4C8">
      <w:start w:val="1"/>
      <w:numFmt w:val="bullet"/>
      <w:lvlText w:val="o"/>
      <w:lvlJc w:val="left"/>
      <w:pPr>
        <w:ind w:left="1440" w:hanging="360"/>
      </w:pPr>
      <w:rPr>
        <w:rFonts w:ascii="Courier New" w:hAnsi="Courier New" w:hint="default"/>
      </w:rPr>
    </w:lvl>
    <w:lvl w:ilvl="2" w:tplc="5338F74A">
      <w:start w:val="1"/>
      <w:numFmt w:val="bullet"/>
      <w:lvlText w:val=""/>
      <w:lvlJc w:val="left"/>
      <w:pPr>
        <w:ind w:left="2160" w:hanging="360"/>
      </w:pPr>
      <w:rPr>
        <w:rFonts w:ascii="Wingdings" w:hAnsi="Wingdings" w:hint="default"/>
      </w:rPr>
    </w:lvl>
    <w:lvl w:ilvl="3" w:tplc="79FE8734">
      <w:start w:val="1"/>
      <w:numFmt w:val="bullet"/>
      <w:lvlText w:val=""/>
      <w:lvlJc w:val="left"/>
      <w:pPr>
        <w:ind w:left="2880" w:hanging="360"/>
      </w:pPr>
      <w:rPr>
        <w:rFonts w:ascii="Symbol" w:hAnsi="Symbol" w:hint="default"/>
      </w:rPr>
    </w:lvl>
    <w:lvl w:ilvl="4" w:tplc="38B62852">
      <w:start w:val="1"/>
      <w:numFmt w:val="bullet"/>
      <w:lvlText w:val="o"/>
      <w:lvlJc w:val="left"/>
      <w:pPr>
        <w:ind w:left="3600" w:hanging="360"/>
      </w:pPr>
      <w:rPr>
        <w:rFonts w:ascii="Courier New" w:hAnsi="Courier New" w:hint="default"/>
      </w:rPr>
    </w:lvl>
    <w:lvl w:ilvl="5" w:tplc="4154A1B4">
      <w:start w:val="1"/>
      <w:numFmt w:val="bullet"/>
      <w:lvlText w:val=""/>
      <w:lvlJc w:val="left"/>
      <w:pPr>
        <w:ind w:left="4320" w:hanging="360"/>
      </w:pPr>
      <w:rPr>
        <w:rFonts w:ascii="Wingdings" w:hAnsi="Wingdings" w:hint="default"/>
      </w:rPr>
    </w:lvl>
    <w:lvl w:ilvl="6" w:tplc="09369AE6">
      <w:start w:val="1"/>
      <w:numFmt w:val="bullet"/>
      <w:lvlText w:val=""/>
      <w:lvlJc w:val="left"/>
      <w:pPr>
        <w:ind w:left="5040" w:hanging="360"/>
      </w:pPr>
      <w:rPr>
        <w:rFonts w:ascii="Symbol" w:hAnsi="Symbol" w:hint="default"/>
      </w:rPr>
    </w:lvl>
    <w:lvl w:ilvl="7" w:tplc="0E3C5DB4">
      <w:start w:val="1"/>
      <w:numFmt w:val="bullet"/>
      <w:lvlText w:val="o"/>
      <w:lvlJc w:val="left"/>
      <w:pPr>
        <w:ind w:left="5760" w:hanging="360"/>
      </w:pPr>
      <w:rPr>
        <w:rFonts w:ascii="Courier New" w:hAnsi="Courier New" w:hint="default"/>
      </w:rPr>
    </w:lvl>
    <w:lvl w:ilvl="8" w:tplc="5C92CD0A">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6"/>
  </w:num>
  <w:num w:numId="5">
    <w:abstractNumId w:val="5"/>
  </w:num>
  <w:num w:numId="6">
    <w:abstractNumId w:val="1"/>
  </w:num>
  <w:num w:numId="7">
    <w:abstractNumId w:val="2"/>
  </w:num>
  <w:num w:numId="8">
    <w:abstractNumId w:val="8"/>
  </w:num>
  <w:num w:numId="9">
    <w:abstractNumId w:val="4"/>
  </w:num>
  <w:num w:numId="10">
    <w:abstractNumId w:val="9"/>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attachedTemplate r:id="rId1"/>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E7E8C96-411A-4B95-965A-9F7E7C94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pPr>
      <w:spacing w:after="0"/>
    </w:pPr>
    <w:rPr>
      <w:rFonts w:ascii="Calibri" w:hAnsi="Calibri" w:cs="Calibri"/>
    </w:rPr>
  </w:style>
  <w:style w:type="table" w:styleId="TableGrid">
    <w:name w:val="Table Grid"/>
    <w:basedOn w:val="TableNorma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pPr>
      <w:autoSpaceDE w:val="0"/>
      <w:autoSpaceDN w:val="0"/>
      <w:adjustRightInd w:val="0"/>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885519">
      <w:bodyDiv w:val="1"/>
      <w:marLeft w:val="0"/>
      <w:marRight w:val="0"/>
      <w:marTop w:val="0"/>
      <w:marBottom w:val="0"/>
      <w:divBdr>
        <w:top w:val="none" w:sz="0" w:space="0" w:color="auto"/>
        <w:left w:val="none" w:sz="0" w:space="0" w:color="auto"/>
        <w:bottom w:val="none" w:sz="0" w:space="0" w:color="auto"/>
        <w:right w:val="none" w:sz="0" w:space="0" w:color="auto"/>
      </w:divBdr>
    </w:div>
    <w:div w:id="1216620939">
      <w:bodyDiv w:val="1"/>
      <w:marLeft w:val="0"/>
      <w:marRight w:val="0"/>
      <w:marTop w:val="0"/>
      <w:marBottom w:val="0"/>
      <w:divBdr>
        <w:top w:val="none" w:sz="0" w:space="0" w:color="auto"/>
        <w:left w:val="none" w:sz="0" w:space="0" w:color="auto"/>
        <w:bottom w:val="none" w:sz="0" w:space="0" w:color="auto"/>
        <w:right w:val="none" w:sz="0" w:space="0" w:color="auto"/>
      </w:divBdr>
    </w:div>
    <w:div w:id="155157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maine.gov/doe/schools/nutrition/law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lter.beesley@maine.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n.landry\OneDrive%20-%20State%20of%20Maine\Email%20attachments%20from%20Flow\DOE_Letterhead_Feb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a3b8a8e-95df-420d-8e50-114f850bf3fd">
      <UserInfo>
        <DisplayName>Tarr, Jennifer L</DisplayName>
        <AccountId>15</AccountId>
        <AccountType/>
      </UserInfo>
      <UserInfo>
        <DisplayName>Landry, Sean</DisplayName>
        <AccountId>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81E70ED4D7D3418DA1AF012516CB0B" ma:contentTypeVersion="9" ma:contentTypeDescription="Create a new document." ma:contentTypeScope="" ma:versionID="581ef7aca4c6b085aceac57b811efc92">
  <xsd:schema xmlns:xsd="http://www.w3.org/2001/XMLSchema" xmlns:xs="http://www.w3.org/2001/XMLSchema" xmlns:p="http://schemas.microsoft.com/office/2006/metadata/properties" xmlns:ns2="f165a909-3f47-4b2d-a855-c3568b6adb82" xmlns:ns3="8a3b8a8e-95df-420d-8e50-114f850bf3fd" targetNamespace="http://schemas.microsoft.com/office/2006/metadata/properties" ma:root="true" ma:fieldsID="7327d6177c1869cd50fb1e0b5a98985f" ns2:_="" ns3:_="">
    <xsd:import namespace="f165a909-3f47-4b2d-a855-c3568b6adb82"/>
    <xsd:import namespace="8a3b8a8e-95df-420d-8e50-114f850bf3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5a909-3f47-4b2d-a855-c3568b6adb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2ED8F-EFF6-4CBD-8BBD-D582272B8BB5}">
  <ds:schemaRefs>
    <ds:schemaRef ds:uri="http://schemas.microsoft.com/sharepoint/v3/contenttype/forms"/>
  </ds:schemaRefs>
</ds:datastoreItem>
</file>

<file path=customXml/itemProps2.xml><?xml version="1.0" encoding="utf-8"?>
<ds:datastoreItem xmlns:ds="http://schemas.openxmlformats.org/officeDocument/2006/customXml" ds:itemID="{D93BC795-59F3-4D33-8BC1-A093E70FCC8E}">
  <ds:schemaRefs>
    <ds:schemaRef ds:uri="http://schemas.microsoft.com/office/2006/metadata/properties"/>
    <ds:schemaRef ds:uri="http://schemas.microsoft.com/office/infopath/2007/PartnerControls"/>
    <ds:schemaRef ds:uri="8a3b8a8e-95df-420d-8e50-114f850bf3fd"/>
  </ds:schemaRefs>
</ds:datastoreItem>
</file>

<file path=customXml/itemProps3.xml><?xml version="1.0" encoding="utf-8"?>
<ds:datastoreItem xmlns:ds="http://schemas.openxmlformats.org/officeDocument/2006/customXml" ds:itemID="{42EC922B-45A1-4ED8-96AF-DC7F90C00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5a909-3f47-4b2d-a855-c3568b6adb82"/>
    <ds:schemaRef ds:uri="8a3b8a8e-95df-420d-8e50-114f850bf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2330A0-99CC-4822-9BEC-411470BE7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DOE_Letterhead_Feb_2019.dotx</Template>
  <TotalTime>2</TotalTime>
  <Pages>5</Pages>
  <Words>1444</Words>
  <Characters>8232</Characters>
  <Application>Microsoft Office Word</Application>
  <DocSecurity>4</DocSecurity>
  <Lines>68</Lines>
  <Paragraphs>19</Paragraphs>
  <ScaleCrop>false</ScaleCrop>
  <Company>State of Maine</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Landry, Sean</dc:creator>
  <cp:lastModifiedBy>Beesley, Walter</cp:lastModifiedBy>
  <cp:revision>2</cp:revision>
  <cp:lastPrinted>2019-10-16T13:59:00Z</cp:lastPrinted>
  <dcterms:created xsi:type="dcterms:W3CDTF">2021-09-27T19:27:00Z</dcterms:created>
  <dcterms:modified xsi:type="dcterms:W3CDTF">2021-09-27T19:27:00Z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0x0101001D81E70ED4D7D3418DA1AF012516CB0B</vt:lpwstr>
  </property>
  <property fmtid="{D5CDD505-2E9C-101B-9397-08002B2CF9AE}" pid="3" name="Order">
    <vt:r8>522600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